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A20" w:rsidRPr="004D46F6" w:rsidRDefault="00E65A20" w:rsidP="00E65A20">
      <w:pPr>
        <w:tabs>
          <w:tab w:val="num" w:pos="-180"/>
        </w:tabs>
        <w:ind w:left="-180"/>
        <w:jc w:val="center"/>
        <w:rPr>
          <w:rFonts w:hint="cs"/>
          <w:b/>
          <w:bCs/>
          <w:color w:val="FFFFFF"/>
          <w:sz w:val="32"/>
          <w:szCs w:val="32"/>
        </w:rPr>
      </w:pPr>
      <w:r w:rsidRPr="00F72BF1">
        <w:rPr>
          <w:rFonts w:hint="cs"/>
          <w:b/>
          <w:bCs/>
          <w:color w:val="FFFFFF"/>
          <w:sz w:val="32"/>
          <w:szCs w:val="32"/>
          <w:highlight w:val="darkBlue"/>
          <w:u w:val="single"/>
          <w:rtl/>
        </w:rPr>
        <w:t>הראי המוזיקלי</w:t>
      </w:r>
    </w:p>
    <w:p w:rsidR="00E65A20" w:rsidRDefault="00E65A20" w:rsidP="00E65A20">
      <w:pPr>
        <w:jc w:val="both"/>
        <w:rPr>
          <w:rFonts w:hint="cs"/>
          <w:b/>
          <w:bCs/>
          <w:color w:val="0000FF"/>
          <w:rtl/>
        </w:rPr>
      </w:pPr>
    </w:p>
    <w:p w:rsidR="00AB4BEC" w:rsidRDefault="00AB4BEC" w:rsidP="00E65A20">
      <w:pPr>
        <w:jc w:val="both"/>
        <w:rPr>
          <w:rFonts w:hint="cs"/>
          <w:b/>
          <w:bCs/>
          <w:color w:val="0000FF"/>
          <w:rtl/>
        </w:rPr>
      </w:pPr>
    </w:p>
    <w:p w:rsidR="00B87252" w:rsidRPr="00E14316" w:rsidRDefault="00B87252" w:rsidP="00B87252">
      <w:pPr>
        <w:tabs>
          <w:tab w:val="left" w:pos="180"/>
          <w:tab w:val="left" w:pos="360"/>
        </w:tabs>
        <w:ind w:left="-180"/>
        <w:jc w:val="both"/>
        <w:rPr>
          <w:rFonts w:hint="cs"/>
          <w:rtl/>
        </w:rPr>
      </w:pPr>
      <w:r>
        <w:rPr>
          <w:rFonts w:hint="cs"/>
          <w:rtl/>
        </w:rPr>
        <w:t>1</w:t>
      </w:r>
      <w:r w:rsidRPr="00E14316">
        <w:rPr>
          <w:rtl/>
        </w:rPr>
        <w:t>.</w:t>
      </w:r>
      <w:r w:rsidRPr="00E14316">
        <w:rPr>
          <w:b/>
          <w:bCs/>
          <w:color w:val="FF0000"/>
          <w:rtl/>
        </w:rPr>
        <w:t xml:space="preserve"> </w:t>
      </w:r>
      <w:r>
        <w:rPr>
          <w:rFonts w:hint="cs"/>
          <w:b/>
          <w:bCs/>
          <w:color w:val="FF0000"/>
          <w:rtl/>
        </w:rPr>
        <w:t xml:space="preserve">  </w:t>
      </w:r>
      <w:r w:rsidRPr="00C66F56">
        <w:rPr>
          <w:rFonts w:hint="cs"/>
          <w:b/>
          <w:bCs/>
          <w:color w:val="FF0000"/>
          <w:sz w:val="28"/>
          <w:szCs w:val="28"/>
          <w:u w:val="single"/>
          <w:rtl/>
        </w:rPr>
        <w:t xml:space="preserve">הראי </w:t>
      </w:r>
      <w:r>
        <w:rPr>
          <w:rFonts w:hint="cs"/>
          <w:b/>
          <w:bCs/>
          <w:color w:val="FF0000"/>
          <w:sz w:val="28"/>
          <w:szCs w:val="28"/>
          <w:u w:val="single"/>
          <w:rtl/>
        </w:rPr>
        <w:t>המוזיקלי</w:t>
      </w:r>
    </w:p>
    <w:p w:rsidR="00E65A20" w:rsidRDefault="00B87252" w:rsidP="00AB4BEC">
      <w:pPr>
        <w:tabs>
          <w:tab w:val="left" w:pos="1981"/>
        </w:tabs>
        <w:ind w:left="185"/>
        <w:jc w:val="both"/>
        <w:rPr>
          <w:rFonts w:asciiTheme="majorBidi" w:hAnsiTheme="majorBidi" w:cstheme="majorBidi" w:hint="cs"/>
          <w:b/>
          <w:bCs/>
          <w:rtl/>
        </w:rPr>
      </w:pPr>
      <w:r w:rsidRPr="00B87252">
        <w:rPr>
          <w:rStyle w:val="Strong"/>
          <w:rFonts w:asciiTheme="majorBidi" w:hAnsiTheme="majorBidi" w:cstheme="majorBidi"/>
          <w:b w:val="0"/>
          <w:bCs w:val="0"/>
          <w:color w:val="0000CD"/>
          <w:rtl/>
        </w:rPr>
        <w:t>הראי המוזיקלי -  </w:t>
      </w:r>
      <w:r w:rsidRPr="00B87252">
        <w:rPr>
          <w:rStyle w:val="Strong"/>
          <w:rFonts w:asciiTheme="majorBidi" w:hAnsiTheme="majorBidi" w:cstheme="majorBidi"/>
          <w:b w:val="0"/>
          <w:bCs w:val="0"/>
          <w:color w:val="000000"/>
          <w:rtl/>
        </w:rPr>
        <w:t>אלו הם שיטות הלחנה מתוחכמות, הן מכונות הראי המוזיקלי בגלל צורת המראה אשר משתקפת מצורת כתיבת התוים. הצורה הנפוצה היא שילובם של שתי הידיים האחת על השניה ובעצם מתיחת הידיים לצדדים נוצרים 10 תוים, כאשר חמשת התוים שביד שמאל (מסמלים 5 תוים שונים עקב השוני במבנה האצבעות)</w:t>
      </w:r>
      <w:r>
        <w:rPr>
          <w:rStyle w:val="Strong"/>
          <w:rFonts w:asciiTheme="majorBidi" w:hAnsiTheme="majorBidi" w:cstheme="majorBidi" w:hint="cs"/>
          <w:b w:val="0"/>
          <w:bCs w:val="0"/>
          <w:color w:val="000000"/>
          <w:rtl/>
        </w:rPr>
        <w:t xml:space="preserve"> ולעומת זאת </w:t>
      </w:r>
      <w:r w:rsidRPr="00B87252">
        <w:rPr>
          <w:rStyle w:val="Strong"/>
          <w:rFonts w:asciiTheme="majorBidi" w:hAnsiTheme="majorBidi" w:cstheme="majorBidi"/>
          <w:b w:val="0"/>
          <w:bCs w:val="0"/>
          <w:color w:val="000000"/>
          <w:rtl/>
        </w:rPr>
        <w:t xml:space="preserve">חמשת התוים שביד ימין מהוים למעשה את אותם 5 תוים אך הפעם בסדר שונה. </w:t>
      </w:r>
      <w:r w:rsidR="00AB4BEC">
        <w:rPr>
          <w:rStyle w:val="Strong"/>
          <w:rFonts w:asciiTheme="majorBidi" w:hAnsiTheme="majorBidi" w:cstheme="majorBidi" w:hint="cs"/>
          <w:b w:val="0"/>
          <w:bCs w:val="0"/>
          <w:color w:val="000000"/>
          <w:rtl/>
        </w:rPr>
        <w:t xml:space="preserve">(הסתכלו על שני ידכם)... </w:t>
      </w:r>
      <w:r w:rsidRPr="00B87252">
        <w:rPr>
          <w:rStyle w:val="Strong"/>
          <w:rFonts w:asciiTheme="majorBidi" w:hAnsiTheme="majorBidi" w:cstheme="majorBidi"/>
          <w:b w:val="0"/>
          <w:bCs w:val="0"/>
          <w:color w:val="000000"/>
          <w:rtl/>
        </w:rPr>
        <w:t> </w:t>
      </w:r>
    </w:p>
    <w:p w:rsidR="00AB4BEC" w:rsidRDefault="00AB4BEC" w:rsidP="00AB4BEC">
      <w:pPr>
        <w:tabs>
          <w:tab w:val="left" w:pos="1981"/>
        </w:tabs>
        <w:ind w:left="185" w:hanging="142"/>
        <w:rPr>
          <w:rFonts w:asciiTheme="majorBidi" w:hAnsiTheme="majorBidi" w:cstheme="majorBidi" w:hint="cs"/>
          <w:b/>
          <w:bCs/>
          <w:rtl/>
        </w:rPr>
      </w:pPr>
      <w:r>
        <w:rPr>
          <w:rFonts w:asciiTheme="majorBidi" w:hAnsiTheme="majorBidi" w:cstheme="majorBidi" w:hint="cs"/>
          <w:b/>
          <w:bCs/>
          <w:noProof/>
          <w:rtl/>
          <w:lang w:eastAsia="en-US"/>
        </w:rPr>
        <w:drawing>
          <wp:inline distT="0" distB="0" distL="0" distR="0">
            <wp:extent cx="5333334" cy="628571"/>
            <wp:effectExtent l="19050" t="0" r="666" b="0"/>
            <wp:docPr id="5"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cstate="print"/>
                    <a:stretch>
                      <a:fillRect/>
                    </a:stretch>
                  </pic:blipFill>
                  <pic:spPr>
                    <a:xfrm>
                      <a:off x="0" y="0"/>
                      <a:ext cx="5333334" cy="628571"/>
                    </a:xfrm>
                    <a:prstGeom prst="rect">
                      <a:avLst/>
                    </a:prstGeom>
                  </pic:spPr>
                </pic:pic>
              </a:graphicData>
            </a:graphic>
          </wp:inline>
        </w:drawing>
      </w:r>
    </w:p>
    <w:p w:rsidR="00B87252" w:rsidRPr="00B87252" w:rsidRDefault="00B87252" w:rsidP="00B87252">
      <w:pPr>
        <w:tabs>
          <w:tab w:val="left" w:pos="1981"/>
        </w:tabs>
        <w:ind w:left="185"/>
        <w:rPr>
          <w:rFonts w:asciiTheme="majorBidi" w:hAnsiTheme="majorBidi" w:cstheme="majorBidi"/>
          <w:b/>
          <w:bCs/>
          <w:rtl/>
        </w:rPr>
      </w:pPr>
    </w:p>
    <w:p w:rsidR="00E65A20" w:rsidRPr="00E14316" w:rsidRDefault="00B87252" w:rsidP="00E65A20">
      <w:pPr>
        <w:tabs>
          <w:tab w:val="left" w:pos="180"/>
          <w:tab w:val="left" w:pos="360"/>
        </w:tabs>
        <w:ind w:left="-180"/>
        <w:jc w:val="both"/>
        <w:rPr>
          <w:rFonts w:hint="cs"/>
          <w:rtl/>
        </w:rPr>
      </w:pPr>
      <w:r>
        <w:rPr>
          <w:rFonts w:hint="cs"/>
          <w:rtl/>
        </w:rPr>
        <w:t>2</w:t>
      </w:r>
      <w:r w:rsidR="00E65A20" w:rsidRPr="00E14316">
        <w:rPr>
          <w:rtl/>
        </w:rPr>
        <w:t>.</w:t>
      </w:r>
      <w:r w:rsidR="00E65A20" w:rsidRPr="00E14316">
        <w:rPr>
          <w:b/>
          <w:bCs/>
          <w:color w:val="FF0000"/>
          <w:rtl/>
        </w:rPr>
        <w:t xml:space="preserve"> </w:t>
      </w:r>
      <w:r w:rsidR="00E65A20">
        <w:rPr>
          <w:rFonts w:hint="cs"/>
          <w:b/>
          <w:bCs/>
          <w:color w:val="FF0000"/>
          <w:rtl/>
        </w:rPr>
        <w:t xml:space="preserve">  </w:t>
      </w:r>
      <w:r w:rsidR="00E65A20" w:rsidRPr="00C66F56">
        <w:rPr>
          <w:rFonts w:hint="cs"/>
          <w:b/>
          <w:bCs/>
          <w:color w:val="FF0000"/>
          <w:sz w:val="28"/>
          <w:szCs w:val="28"/>
          <w:u w:val="single"/>
          <w:rtl/>
        </w:rPr>
        <w:t>הראי במרווחים</w:t>
      </w:r>
    </w:p>
    <w:p w:rsidR="00E65A20" w:rsidRDefault="00E65A20" w:rsidP="00AB4BEC">
      <w:pPr>
        <w:tabs>
          <w:tab w:val="left" w:pos="1981"/>
        </w:tabs>
        <w:ind w:left="180"/>
        <w:jc w:val="both"/>
        <w:rPr>
          <w:rFonts w:hint="cs"/>
          <w:rtl/>
        </w:rPr>
      </w:pPr>
      <w:r w:rsidRPr="00AD5E63">
        <w:rPr>
          <w:b/>
          <w:bCs/>
          <w:rtl/>
        </w:rPr>
        <w:t xml:space="preserve">"הראי במרווחים" – </w:t>
      </w:r>
      <w:r w:rsidRPr="00AD5E63">
        <w:rPr>
          <w:rtl/>
        </w:rPr>
        <w:t>בשיטה זו פעולת הראי היא היפוך כיוון העלייה בכיוון הירידה ולהיפך זהו אחד האמצעים להשגת סוג מסויים של סימטריה במלודיה ואחת הווריאציות בהופעותיו של מירווח או קבוצת מירווחים ביצירה.</w:t>
      </w:r>
    </w:p>
    <w:p w:rsidR="00E65A20" w:rsidRDefault="00E65A20" w:rsidP="00E65A20">
      <w:pPr>
        <w:tabs>
          <w:tab w:val="left" w:pos="1981"/>
        </w:tabs>
        <w:ind w:left="180"/>
        <w:rPr>
          <w:rFonts w:hint="cs"/>
          <w:rtl/>
        </w:rPr>
      </w:pPr>
      <w:r>
        <w:rPr>
          <w:rFonts w:hint="cs"/>
          <w:noProof/>
          <w:rtl/>
          <w:lang w:eastAsia="en-US"/>
        </w:rPr>
        <w:drawing>
          <wp:inline distT="0" distB="0" distL="0" distR="0">
            <wp:extent cx="5372100" cy="552450"/>
            <wp:effectExtent l="19050" t="0" r="0" b="0"/>
            <wp:docPr id="1" name="Picture 1" descr="הראי במרווח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הראי במרווחים"/>
                    <pic:cNvPicPr>
                      <a:picLocks noChangeAspect="1" noChangeArrowheads="1"/>
                    </pic:cNvPicPr>
                  </pic:nvPicPr>
                  <pic:blipFill>
                    <a:blip r:embed="rId5" cstate="print"/>
                    <a:srcRect/>
                    <a:stretch>
                      <a:fillRect/>
                    </a:stretch>
                  </pic:blipFill>
                  <pic:spPr bwMode="auto">
                    <a:xfrm>
                      <a:off x="0" y="0"/>
                      <a:ext cx="5372100" cy="552450"/>
                    </a:xfrm>
                    <a:prstGeom prst="rect">
                      <a:avLst/>
                    </a:prstGeom>
                    <a:noFill/>
                    <a:ln w="9525">
                      <a:noFill/>
                      <a:miter lim="800000"/>
                      <a:headEnd/>
                      <a:tailEnd/>
                    </a:ln>
                  </pic:spPr>
                </pic:pic>
              </a:graphicData>
            </a:graphic>
          </wp:inline>
        </w:drawing>
      </w:r>
    </w:p>
    <w:p w:rsidR="00E65A20" w:rsidRDefault="00E65A20" w:rsidP="00E65A20">
      <w:pPr>
        <w:tabs>
          <w:tab w:val="left" w:pos="1981"/>
        </w:tabs>
        <w:ind w:left="180"/>
        <w:rPr>
          <w:rFonts w:hint="cs"/>
          <w:rtl/>
        </w:rPr>
      </w:pPr>
    </w:p>
    <w:p w:rsidR="00E65A20" w:rsidRPr="00E14316" w:rsidRDefault="00B87252" w:rsidP="00E65A20">
      <w:pPr>
        <w:tabs>
          <w:tab w:val="left" w:pos="180"/>
          <w:tab w:val="left" w:pos="360"/>
        </w:tabs>
        <w:ind w:left="-180"/>
        <w:jc w:val="both"/>
        <w:rPr>
          <w:rFonts w:hint="cs"/>
          <w:rtl/>
        </w:rPr>
      </w:pPr>
      <w:r>
        <w:rPr>
          <w:rFonts w:hint="cs"/>
          <w:rtl/>
        </w:rPr>
        <w:t>3</w:t>
      </w:r>
      <w:r w:rsidR="00E65A20" w:rsidRPr="00E14316">
        <w:rPr>
          <w:rtl/>
        </w:rPr>
        <w:t>.</w:t>
      </w:r>
      <w:r w:rsidR="00E65A20" w:rsidRPr="00E14316">
        <w:rPr>
          <w:b/>
          <w:bCs/>
          <w:color w:val="FF0000"/>
          <w:rtl/>
        </w:rPr>
        <w:t xml:space="preserve"> </w:t>
      </w:r>
      <w:r w:rsidR="00E65A20">
        <w:rPr>
          <w:rFonts w:hint="cs"/>
          <w:b/>
          <w:bCs/>
          <w:color w:val="FF0000"/>
          <w:rtl/>
        </w:rPr>
        <w:t xml:space="preserve">  </w:t>
      </w:r>
      <w:r w:rsidR="00E65A20" w:rsidRPr="00C66F56">
        <w:rPr>
          <w:rFonts w:hint="cs"/>
          <w:b/>
          <w:bCs/>
          <w:color w:val="FF0000"/>
          <w:sz w:val="28"/>
          <w:szCs w:val="28"/>
          <w:u w:val="single"/>
          <w:rtl/>
        </w:rPr>
        <w:t>הראי הריאלי</w:t>
      </w:r>
    </w:p>
    <w:p w:rsidR="00E65A20" w:rsidRDefault="00E65A20" w:rsidP="00AB4BEC">
      <w:pPr>
        <w:tabs>
          <w:tab w:val="left" w:pos="1981"/>
        </w:tabs>
        <w:ind w:left="180"/>
        <w:jc w:val="both"/>
        <w:rPr>
          <w:rFonts w:hint="cs"/>
          <w:rtl/>
        </w:rPr>
      </w:pPr>
      <w:r w:rsidRPr="00AD5E63">
        <w:rPr>
          <w:b/>
          <w:bCs/>
          <w:rtl/>
        </w:rPr>
        <w:t>"הראי הריאלי"–</w:t>
      </w:r>
      <w:r w:rsidRPr="00AD5E63">
        <w:rPr>
          <w:rtl/>
        </w:rPr>
        <w:t xml:space="preserve"> מכונה אף הראי המדוייק,מתקבל כאשר משתמר הגודל המדוייק של המירווח בהיפוך הכיוון לדוגמא הראי </w:t>
      </w:r>
      <w:r>
        <w:rPr>
          <w:rFonts w:hint="cs"/>
          <w:rtl/>
        </w:rPr>
        <w:t>ב</w:t>
      </w:r>
      <w:r w:rsidRPr="00AD5E63">
        <w:rPr>
          <w:rtl/>
        </w:rPr>
        <w:t xml:space="preserve">משולש המז'ורי העולה דו-מי-סול הנו המשולש המינורי היורד דו-לה במול-פה. </w:t>
      </w:r>
    </w:p>
    <w:p w:rsidR="00E65A20" w:rsidRDefault="00E65A20" w:rsidP="00E65A20">
      <w:pPr>
        <w:tabs>
          <w:tab w:val="left" w:pos="1981"/>
        </w:tabs>
        <w:ind w:left="180"/>
        <w:rPr>
          <w:rFonts w:hint="cs"/>
          <w:rtl/>
        </w:rPr>
      </w:pPr>
      <w:r>
        <w:rPr>
          <w:rFonts w:hint="cs"/>
          <w:b/>
          <w:bCs/>
          <w:noProof/>
          <w:rtl/>
          <w:lang w:eastAsia="en-US"/>
        </w:rPr>
        <w:drawing>
          <wp:inline distT="0" distB="0" distL="0" distR="0">
            <wp:extent cx="5400675" cy="676275"/>
            <wp:effectExtent l="19050" t="0" r="9525" b="0"/>
            <wp:docPr id="2" name="Picture 2" descr="הראי הרא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הראי הראלי"/>
                    <pic:cNvPicPr>
                      <a:picLocks noChangeAspect="1" noChangeArrowheads="1"/>
                    </pic:cNvPicPr>
                  </pic:nvPicPr>
                  <pic:blipFill>
                    <a:blip r:embed="rId6" cstate="print"/>
                    <a:srcRect/>
                    <a:stretch>
                      <a:fillRect/>
                    </a:stretch>
                  </pic:blipFill>
                  <pic:spPr bwMode="auto">
                    <a:xfrm>
                      <a:off x="0" y="0"/>
                      <a:ext cx="5400675" cy="676275"/>
                    </a:xfrm>
                    <a:prstGeom prst="rect">
                      <a:avLst/>
                    </a:prstGeom>
                    <a:noFill/>
                    <a:ln w="9525">
                      <a:noFill/>
                      <a:miter lim="800000"/>
                      <a:headEnd/>
                      <a:tailEnd/>
                    </a:ln>
                  </pic:spPr>
                </pic:pic>
              </a:graphicData>
            </a:graphic>
          </wp:inline>
        </w:drawing>
      </w:r>
    </w:p>
    <w:p w:rsidR="00E65A20" w:rsidRPr="00E14316" w:rsidRDefault="00B87252" w:rsidP="00E65A20">
      <w:pPr>
        <w:tabs>
          <w:tab w:val="left" w:pos="180"/>
          <w:tab w:val="left" w:pos="360"/>
        </w:tabs>
        <w:ind w:left="-180"/>
        <w:jc w:val="both"/>
        <w:rPr>
          <w:rFonts w:hint="cs"/>
          <w:rtl/>
        </w:rPr>
      </w:pPr>
      <w:r>
        <w:rPr>
          <w:rFonts w:hint="cs"/>
          <w:rtl/>
        </w:rPr>
        <w:t>4</w:t>
      </w:r>
      <w:r w:rsidR="00E65A20" w:rsidRPr="00E14316">
        <w:rPr>
          <w:rtl/>
        </w:rPr>
        <w:t>.</w:t>
      </w:r>
      <w:r w:rsidR="00E65A20" w:rsidRPr="00E14316">
        <w:rPr>
          <w:b/>
          <w:bCs/>
          <w:color w:val="FF0000"/>
          <w:rtl/>
        </w:rPr>
        <w:t xml:space="preserve"> </w:t>
      </w:r>
      <w:r w:rsidR="00E65A20">
        <w:rPr>
          <w:rFonts w:hint="cs"/>
          <w:b/>
          <w:bCs/>
          <w:color w:val="FF0000"/>
          <w:rtl/>
        </w:rPr>
        <w:t xml:space="preserve">  </w:t>
      </w:r>
      <w:r w:rsidR="00E65A20" w:rsidRPr="00C66F56">
        <w:rPr>
          <w:rFonts w:hint="cs"/>
          <w:b/>
          <w:bCs/>
          <w:color w:val="FF0000"/>
          <w:sz w:val="28"/>
          <w:szCs w:val="28"/>
          <w:u w:val="single"/>
          <w:rtl/>
        </w:rPr>
        <w:t>הראי הדיאטוני</w:t>
      </w:r>
    </w:p>
    <w:p w:rsidR="00E65A20" w:rsidRDefault="00E65A20" w:rsidP="00AB4BEC">
      <w:pPr>
        <w:tabs>
          <w:tab w:val="left" w:pos="1981"/>
        </w:tabs>
        <w:ind w:left="180"/>
        <w:jc w:val="both"/>
        <w:rPr>
          <w:rFonts w:hint="cs"/>
          <w:rtl/>
        </w:rPr>
      </w:pPr>
      <w:r w:rsidRPr="00AD5E63">
        <w:rPr>
          <w:b/>
          <w:bCs/>
          <w:rtl/>
        </w:rPr>
        <w:t>"הראי הדיאטוני"</w:t>
      </w:r>
      <w:r w:rsidRPr="00AD5E63">
        <w:rPr>
          <w:rtl/>
        </w:rPr>
        <w:t xml:space="preserve"> – מכונה אף הראי הטונאלי, מתקבל כאשר המרווח נקבע בהתאם לסוג הסולם מז'ור או מינור, בשיטה זו לא נשמר ה</w:t>
      </w:r>
      <w:r>
        <w:rPr>
          <w:rFonts w:hint="cs"/>
          <w:rtl/>
        </w:rPr>
        <w:t xml:space="preserve">מרווח </w:t>
      </w:r>
      <w:r w:rsidRPr="00AD5E63">
        <w:rPr>
          <w:rtl/>
        </w:rPr>
        <w:t>המדוייק אלא משתמר סוג הסולם .</w:t>
      </w:r>
    </w:p>
    <w:p w:rsidR="00E65A20" w:rsidRDefault="00E65A20" w:rsidP="00AB4BEC">
      <w:pPr>
        <w:tabs>
          <w:tab w:val="left" w:pos="1981"/>
        </w:tabs>
        <w:ind w:left="180"/>
        <w:jc w:val="both"/>
        <w:rPr>
          <w:rFonts w:hint="cs"/>
          <w:rtl/>
        </w:rPr>
      </w:pPr>
      <w:r w:rsidRPr="00AD5E63">
        <w:rPr>
          <w:rtl/>
        </w:rPr>
        <w:t xml:space="preserve">לדוגמא הראי של המשולש המז'ורי דו-מי-סול יהיה משולש שאף הוא מז'ורי דו-לה-פה. </w:t>
      </w:r>
    </w:p>
    <w:p w:rsidR="00E65A20" w:rsidRDefault="00E65A20" w:rsidP="00E65A20">
      <w:pPr>
        <w:tabs>
          <w:tab w:val="left" w:pos="1981"/>
        </w:tabs>
        <w:ind w:left="180"/>
        <w:rPr>
          <w:rFonts w:hint="cs"/>
          <w:rtl/>
        </w:rPr>
      </w:pPr>
      <w:r>
        <w:rPr>
          <w:rFonts w:hint="cs"/>
          <w:noProof/>
          <w:rtl/>
          <w:lang w:eastAsia="en-US"/>
        </w:rPr>
        <w:drawing>
          <wp:inline distT="0" distB="0" distL="0" distR="0">
            <wp:extent cx="5343525" cy="533400"/>
            <wp:effectExtent l="19050" t="0" r="9525" b="0"/>
            <wp:docPr id="3" name="Picture 3" descr="הראי הדיאטונ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הראי הדיאטוני"/>
                    <pic:cNvPicPr>
                      <a:picLocks noChangeAspect="1" noChangeArrowheads="1"/>
                    </pic:cNvPicPr>
                  </pic:nvPicPr>
                  <pic:blipFill>
                    <a:blip r:embed="rId7" cstate="print"/>
                    <a:srcRect/>
                    <a:stretch>
                      <a:fillRect/>
                    </a:stretch>
                  </pic:blipFill>
                  <pic:spPr bwMode="auto">
                    <a:xfrm>
                      <a:off x="0" y="0"/>
                      <a:ext cx="5343525" cy="533400"/>
                    </a:xfrm>
                    <a:prstGeom prst="rect">
                      <a:avLst/>
                    </a:prstGeom>
                    <a:noFill/>
                    <a:ln w="9525">
                      <a:noFill/>
                      <a:miter lim="800000"/>
                      <a:headEnd/>
                      <a:tailEnd/>
                    </a:ln>
                  </pic:spPr>
                </pic:pic>
              </a:graphicData>
            </a:graphic>
          </wp:inline>
        </w:drawing>
      </w:r>
    </w:p>
    <w:p w:rsidR="00E65A20" w:rsidRDefault="00E65A20" w:rsidP="00AB4BEC">
      <w:pPr>
        <w:tabs>
          <w:tab w:val="left" w:pos="1981"/>
        </w:tabs>
        <w:ind w:left="180"/>
        <w:jc w:val="both"/>
        <w:rPr>
          <w:rFonts w:hint="cs"/>
          <w:rtl/>
        </w:rPr>
      </w:pPr>
      <w:r w:rsidRPr="002C4463">
        <w:rPr>
          <w:rtl/>
        </w:rPr>
        <w:t xml:space="preserve">שיטות אלו ואחרות </w:t>
      </w:r>
      <w:r w:rsidRPr="002C4463">
        <w:rPr>
          <w:rFonts w:hint="cs"/>
          <w:rtl/>
        </w:rPr>
        <w:t>.</w:t>
      </w:r>
      <w:r w:rsidRPr="002C4463">
        <w:rPr>
          <w:rtl/>
        </w:rPr>
        <w:t>הינם פרי המצאתו הגאונית של ילד הפלא מוצרט..</w:t>
      </w:r>
      <w:r>
        <w:rPr>
          <w:rFonts w:hint="cs"/>
          <w:rtl/>
        </w:rPr>
        <w:t>( אשר ידע אף לשפר שיטות ראי מיושנות דוגמת גיום דה מאשו)..</w:t>
      </w:r>
      <w:r w:rsidRPr="002C4463">
        <w:rPr>
          <w:rtl/>
        </w:rPr>
        <w:t xml:space="preserve"> </w:t>
      </w:r>
      <w:r>
        <w:rPr>
          <w:rFonts w:hint="cs"/>
          <w:rtl/>
        </w:rPr>
        <w:t xml:space="preserve">בנושא זה ניתן לראות שימוש רב שעושה מוצרט במיסה הגדולה, בפרק </w:t>
      </w:r>
      <w:r w:rsidRPr="000E5442">
        <w:rPr>
          <w:color w:val="0000FF"/>
        </w:rPr>
        <w:t xml:space="preserve">Cum </w:t>
      </w:r>
      <w:proofErr w:type="spellStart"/>
      <w:r w:rsidRPr="000E5442">
        <w:rPr>
          <w:color w:val="0000FF"/>
        </w:rPr>
        <w:t>sancto</w:t>
      </w:r>
      <w:proofErr w:type="spellEnd"/>
      <w:r>
        <w:rPr>
          <w:rFonts w:hint="cs"/>
          <w:rtl/>
        </w:rPr>
        <w:t xml:space="preserve"> (פרק זה נכתב במיוחד כדי להרשים את אביו).. ציטוט מדבריו של מוצרט לאחותו אנה..: "כך אני פחות מתעייף מלכתוב מוזיקה" ...</w:t>
      </w:r>
    </w:p>
    <w:p w:rsidR="00AB4BEC" w:rsidRDefault="00AB4BEC" w:rsidP="00AB4BEC">
      <w:pPr>
        <w:tabs>
          <w:tab w:val="left" w:pos="1981"/>
        </w:tabs>
        <w:ind w:left="180"/>
        <w:jc w:val="both"/>
        <w:rPr>
          <w:rFonts w:hint="cs"/>
          <w:rtl/>
        </w:rPr>
      </w:pPr>
    </w:p>
    <w:p w:rsidR="00AB4BEC" w:rsidRDefault="00AB4BEC" w:rsidP="00AB4BEC">
      <w:pPr>
        <w:tabs>
          <w:tab w:val="left" w:pos="1981"/>
        </w:tabs>
        <w:ind w:left="180"/>
        <w:jc w:val="both"/>
        <w:rPr>
          <w:rFonts w:hint="cs"/>
          <w:rtl/>
        </w:rPr>
      </w:pPr>
    </w:p>
    <w:p w:rsidR="00AB4BEC" w:rsidRDefault="00AB4BEC" w:rsidP="00AB4BEC">
      <w:pPr>
        <w:tabs>
          <w:tab w:val="left" w:pos="1981"/>
        </w:tabs>
        <w:ind w:left="180"/>
        <w:jc w:val="both"/>
        <w:rPr>
          <w:rFonts w:hint="cs"/>
          <w:rtl/>
        </w:rPr>
      </w:pPr>
    </w:p>
    <w:p w:rsidR="00AB4BEC" w:rsidRDefault="00AB4BEC" w:rsidP="00AB4BEC">
      <w:pPr>
        <w:tabs>
          <w:tab w:val="left" w:pos="1981"/>
        </w:tabs>
        <w:ind w:left="180"/>
        <w:jc w:val="both"/>
        <w:rPr>
          <w:rFonts w:hint="cs"/>
          <w:rtl/>
        </w:rPr>
      </w:pPr>
    </w:p>
    <w:p w:rsidR="00AB4BEC" w:rsidRDefault="00AB4BEC" w:rsidP="00AB4BEC">
      <w:pPr>
        <w:tabs>
          <w:tab w:val="left" w:pos="1981"/>
        </w:tabs>
        <w:ind w:left="180"/>
        <w:jc w:val="both"/>
        <w:rPr>
          <w:rFonts w:hint="cs"/>
          <w:rtl/>
        </w:rPr>
      </w:pPr>
    </w:p>
    <w:p w:rsidR="00AB4BEC" w:rsidRDefault="00AB4BEC" w:rsidP="00AB4BEC">
      <w:pPr>
        <w:tabs>
          <w:tab w:val="left" w:pos="1981"/>
        </w:tabs>
        <w:ind w:left="180"/>
        <w:jc w:val="both"/>
        <w:rPr>
          <w:rFonts w:hint="cs"/>
          <w:rtl/>
        </w:rPr>
      </w:pPr>
    </w:p>
    <w:p w:rsidR="00AB4BEC" w:rsidRDefault="00AB4BEC" w:rsidP="00AB4BEC">
      <w:pPr>
        <w:tabs>
          <w:tab w:val="left" w:pos="1981"/>
        </w:tabs>
        <w:ind w:left="180"/>
        <w:jc w:val="both"/>
        <w:rPr>
          <w:rFonts w:hint="cs"/>
          <w:rtl/>
        </w:rPr>
      </w:pPr>
    </w:p>
    <w:p w:rsidR="00AB4BEC" w:rsidRPr="002C4463" w:rsidRDefault="00AB4BEC" w:rsidP="00AB4BEC">
      <w:pPr>
        <w:tabs>
          <w:tab w:val="left" w:pos="1981"/>
        </w:tabs>
        <w:ind w:left="180"/>
        <w:jc w:val="both"/>
        <w:rPr>
          <w:rFonts w:hint="cs"/>
          <w:rtl/>
        </w:rPr>
      </w:pPr>
    </w:p>
    <w:p w:rsidR="00E65A20" w:rsidRDefault="00E65A20" w:rsidP="00E65A20">
      <w:pPr>
        <w:tabs>
          <w:tab w:val="left" w:pos="1981"/>
        </w:tabs>
        <w:ind w:left="180"/>
        <w:rPr>
          <w:rFonts w:hint="cs"/>
          <w:rtl/>
        </w:rPr>
      </w:pPr>
    </w:p>
    <w:p w:rsidR="00E65A20" w:rsidRPr="00E14316" w:rsidRDefault="00B87252" w:rsidP="00E65A20">
      <w:pPr>
        <w:tabs>
          <w:tab w:val="left" w:pos="180"/>
        </w:tabs>
        <w:ind w:left="-180"/>
        <w:jc w:val="both"/>
        <w:rPr>
          <w:rFonts w:hint="cs"/>
          <w:b/>
          <w:bCs/>
          <w:color w:val="FF0000"/>
          <w:rtl/>
        </w:rPr>
      </w:pPr>
      <w:r>
        <w:rPr>
          <w:rFonts w:hint="cs"/>
          <w:rtl/>
        </w:rPr>
        <w:lastRenderedPageBreak/>
        <w:t>5</w:t>
      </w:r>
      <w:r w:rsidR="00E65A20" w:rsidRPr="00E14316">
        <w:rPr>
          <w:rtl/>
        </w:rPr>
        <w:t>.</w:t>
      </w:r>
      <w:r w:rsidR="00E65A20" w:rsidRPr="00E14316">
        <w:rPr>
          <w:b/>
          <w:bCs/>
          <w:color w:val="FF0000"/>
          <w:rtl/>
        </w:rPr>
        <w:t xml:space="preserve">   </w:t>
      </w:r>
      <w:r w:rsidR="00E65A20" w:rsidRPr="00B9264C">
        <w:rPr>
          <w:b/>
          <w:bCs/>
          <w:color w:val="FF0000"/>
          <w:sz w:val="28"/>
          <w:szCs w:val="28"/>
          <w:u w:val="single"/>
          <w:rtl/>
        </w:rPr>
        <w:t>שיטת הלחנה</w:t>
      </w:r>
      <w:r w:rsidR="00E65A20" w:rsidRPr="00E14316">
        <w:rPr>
          <w:b/>
          <w:bCs/>
          <w:color w:val="FF0000"/>
          <w:rtl/>
        </w:rPr>
        <w:t xml:space="preserve">- </w:t>
      </w:r>
      <w:r w:rsidR="00E65A20" w:rsidRPr="00E14316">
        <w:rPr>
          <w:color w:val="FF0000"/>
          <w:rtl/>
        </w:rPr>
        <w:t>גיום דה מאשו</w:t>
      </w:r>
    </w:p>
    <w:p w:rsidR="00E65A20" w:rsidRDefault="00E65A20" w:rsidP="00E65A20">
      <w:pPr>
        <w:ind w:left="180"/>
        <w:jc w:val="both"/>
        <w:rPr>
          <w:rFonts w:hint="cs"/>
          <w:rtl/>
        </w:rPr>
      </w:pPr>
      <w:r w:rsidRPr="00E14316">
        <w:rPr>
          <w:rtl/>
        </w:rPr>
        <w:t>שיטה בה נכתבת הלחנה עד מחצית הפרזה או הפרק ומחציתה השנייה זהה לחלוטין אך בהיפוך.. זוהי שיטת הלחנה שנכתבה כבר במאה ה-16 ואומצה ברבות הימים גם ע"י מוצרט .. בדוגמא שלפנינו רואים כי ה</w:t>
      </w:r>
      <w:r>
        <w:rPr>
          <w:rtl/>
        </w:rPr>
        <w:t>תווים</w:t>
      </w:r>
      <w:r w:rsidRPr="00E14316">
        <w:rPr>
          <w:rtl/>
        </w:rPr>
        <w:t xml:space="preserve"> ב-</w:t>
      </w:r>
      <w:r w:rsidRPr="00E14316">
        <w:t>Track 2</w:t>
      </w:r>
      <w:r w:rsidRPr="00E14316">
        <w:rPr>
          <w:rtl/>
        </w:rPr>
        <w:t xml:space="preserve"> הינם היפוך מדוייק של ה</w:t>
      </w:r>
      <w:r>
        <w:rPr>
          <w:rtl/>
        </w:rPr>
        <w:t>תווים</w:t>
      </w:r>
      <w:r w:rsidRPr="00E14316">
        <w:rPr>
          <w:rtl/>
        </w:rPr>
        <w:t xml:space="preserve"> ב- </w:t>
      </w:r>
      <w:r w:rsidRPr="00E14316">
        <w:t>Track 1</w:t>
      </w:r>
      <w:r w:rsidRPr="00E14316">
        <w:rPr>
          <w:rtl/>
        </w:rPr>
        <w:t>..</w:t>
      </w:r>
    </w:p>
    <w:p w:rsidR="00E65A20" w:rsidRDefault="00E65A20" w:rsidP="00E65A20">
      <w:pPr>
        <w:ind w:firstLine="180"/>
        <w:jc w:val="both"/>
        <w:rPr>
          <w:rFonts w:hint="cs"/>
          <w:b/>
          <w:bCs/>
          <w:color w:val="0000FF"/>
          <w:rtl/>
        </w:rPr>
      </w:pPr>
      <w:r>
        <w:rPr>
          <w:noProof/>
          <w:rtl/>
          <w:lang w:eastAsia="en-US"/>
        </w:rPr>
        <w:drawing>
          <wp:inline distT="0" distB="0" distL="0" distR="0">
            <wp:extent cx="5715000" cy="106680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5715000" cy="1066800"/>
                    </a:xfrm>
                    <a:prstGeom prst="rect">
                      <a:avLst/>
                    </a:prstGeom>
                    <a:noFill/>
                    <a:ln w="9525">
                      <a:noFill/>
                      <a:miter lim="800000"/>
                      <a:headEnd/>
                      <a:tailEnd/>
                    </a:ln>
                  </pic:spPr>
                </pic:pic>
              </a:graphicData>
            </a:graphic>
          </wp:inline>
        </w:drawing>
      </w:r>
    </w:p>
    <w:p w:rsidR="00E65A20" w:rsidRDefault="00E65A20" w:rsidP="00E65A20">
      <w:pPr>
        <w:jc w:val="both"/>
        <w:rPr>
          <w:rFonts w:hint="cs"/>
          <w:b/>
          <w:bCs/>
          <w:color w:val="0000FF"/>
          <w:rtl/>
        </w:rPr>
      </w:pPr>
    </w:p>
    <w:p w:rsidR="00E65A20" w:rsidRDefault="00E65A20" w:rsidP="00E65A20">
      <w:pPr>
        <w:jc w:val="both"/>
        <w:rPr>
          <w:rFonts w:hint="cs"/>
          <w:b/>
          <w:bCs/>
          <w:color w:val="0000FF"/>
          <w:rtl/>
        </w:rPr>
      </w:pPr>
    </w:p>
    <w:p w:rsidR="001143FB" w:rsidRDefault="001143FB"/>
    <w:sectPr w:rsidR="001143FB" w:rsidSect="00E65A20">
      <w:pgSz w:w="11906" w:h="16838"/>
      <w:pgMar w:top="1440" w:right="1416"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65A20"/>
    <w:rsid w:val="001143FB"/>
    <w:rsid w:val="00AB4BEC"/>
    <w:rsid w:val="00B87252"/>
    <w:rsid w:val="00BF62DE"/>
    <w:rsid w:val="00E65A2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A20"/>
    <w:pPr>
      <w:bidi/>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5A20"/>
    <w:rPr>
      <w:rFonts w:ascii="Tahoma" w:hAnsi="Tahoma" w:cs="Tahoma"/>
      <w:sz w:val="16"/>
      <w:szCs w:val="16"/>
    </w:rPr>
  </w:style>
  <w:style w:type="character" w:customStyle="1" w:styleId="BalloonTextChar">
    <w:name w:val="Balloon Text Char"/>
    <w:basedOn w:val="DefaultParagraphFont"/>
    <w:link w:val="BalloonText"/>
    <w:uiPriority w:val="99"/>
    <w:semiHidden/>
    <w:rsid w:val="00E65A20"/>
    <w:rPr>
      <w:rFonts w:ascii="Tahoma" w:eastAsia="SimSun" w:hAnsi="Tahoma" w:cs="Tahoma"/>
      <w:sz w:val="16"/>
      <w:szCs w:val="16"/>
      <w:lang w:eastAsia="zh-CN"/>
    </w:rPr>
  </w:style>
  <w:style w:type="character" w:styleId="Strong">
    <w:name w:val="Strong"/>
    <w:basedOn w:val="DefaultParagraphFont"/>
    <w:uiPriority w:val="22"/>
    <w:qFormat/>
    <w:rsid w:val="00B87252"/>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279</Words>
  <Characters>1395</Characters>
  <Application>Microsoft Office Word</Application>
  <DocSecurity>0</DocSecurity>
  <Lines>11</Lines>
  <Paragraphs>3</Paragraphs>
  <ScaleCrop>false</ScaleCrop>
  <Company>Home</Company>
  <LinksUpToDate>false</LinksUpToDate>
  <CharactersWithSpaces>1671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Haim</dc:creator>
  <cp:keywords/>
  <dc:description/>
  <cp:lastModifiedBy>Haim</cp:lastModifiedBy>
  <cp:revision>3</cp:revision>
  <dcterms:created xsi:type="dcterms:W3CDTF">2012-03-02T18:13:00Z</dcterms:created>
  <dcterms:modified xsi:type="dcterms:W3CDTF">2012-03-02T18:19:00Z</dcterms:modified>
</cp:coreProperties>
</file>