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098" w:rsidRDefault="00B94098" w:rsidP="00B94098">
      <w:pPr>
        <w:ind w:left="-180"/>
        <w:jc w:val="both"/>
        <w:rPr>
          <w:rFonts w:hint="cs"/>
        </w:rPr>
      </w:pPr>
      <w:r w:rsidRPr="000A74FD">
        <w:rPr>
          <w:rFonts w:hint="cs"/>
          <w:b/>
          <w:bCs/>
          <w:color w:val="FF0000"/>
          <w:sz w:val="28"/>
          <w:szCs w:val="28"/>
          <w:u w:val="single"/>
          <w:rtl/>
        </w:rPr>
        <w:t>מנדלסון</w:t>
      </w:r>
      <w:r>
        <w:rPr>
          <w:rFonts w:hint="cs"/>
          <w:b/>
          <w:bCs/>
          <w:color w:val="FF0000"/>
          <w:rtl/>
        </w:rPr>
        <w:t xml:space="preserve"> </w:t>
      </w:r>
      <w:r>
        <w:rPr>
          <w:rFonts w:hint="cs"/>
          <w:rtl/>
        </w:rPr>
        <w:t xml:space="preserve"> </w:t>
      </w:r>
      <w:proofErr w:type="spellStart"/>
      <w:r w:rsidRPr="00763DDF">
        <w:rPr>
          <w:color w:val="FF0000"/>
        </w:rPr>
        <w:t>mendelssohn</w:t>
      </w:r>
      <w:proofErr w:type="spellEnd"/>
      <w:r w:rsidRPr="00763DDF">
        <w:rPr>
          <w:color w:val="FF0000"/>
        </w:rPr>
        <w:t xml:space="preserve"> </w:t>
      </w:r>
      <w:proofErr w:type="spellStart"/>
      <w:r w:rsidRPr="00763DDF">
        <w:rPr>
          <w:color w:val="FF0000"/>
        </w:rPr>
        <w:t>bartholdy</w:t>
      </w:r>
      <w:proofErr w:type="spellEnd"/>
      <w:r w:rsidRPr="00763DDF">
        <w:rPr>
          <w:color w:val="FF0000"/>
        </w:rPr>
        <w:t xml:space="preserve"> </w:t>
      </w:r>
      <w:proofErr w:type="spellStart"/>
      <w:r w:rsidRPr="00763DDF">
        <w:rPr>
          <w:color w:val="FF0000"/>
        </w:rPr>
        <w:t>felix</w:t>
      </w:r>
      <w:proofErr w:type="spellEnd"/>
      <w:r>
        <w:rPr>
          <w:color w:val="FF0000"/>
        </w:rPr>
        <w:t>)</w:t>
      </w:r>
      <w:r>
        <w:rPr>
          <w:rFonts w:hint="cs"/>
          <w:color w:val="FF0000"/>
          <w:rtl/>
        </w:rPr>
        <w:t xml:space="preserve"> </w:t>
      </w:r>
      <w:r w:rsidRPr="00F244F1">
        <w:rPr>
          <w:rFonts w:hint="cs"/>
          <w:color w:val="FF0000"/>
          <w:sz w:val="22"/>
          <w:szCs w:val="22"/>
          <w:rtl/>
        </w:rPr>
        <w:t>1809-1847</w:t>
      </w:r>
      <w:r>
        <w:rPr>
          <w:rFonts w:hint="cs"/>
          <w:color w:val="FF0000"/>
          <w:rtl/>
        </w:rPr>
        <w:t>)</w:t>
      </w:r>
    </w:p>
    <w:p w:rsidR="00B94098" w:rsidRDefault="00B94098" w:rsidP="00B94098">
      <w:pPr>
        <w:ind w:left="180"/>
        <w:rPr>
          <w:rFonts w:hint="cs"/>
          <w:rtl/>
        </w:rPr>
      </w:pPr>
      <w:r>
        <w:rPr>
          <w:noProof/>
          <w:color w:val="0000FF"/>
          <w:rtl/>
          <w:lang w:eastAsia="en-US"/>
        </w:rPr>
        <w:drawing>
          <wp:inline distT="0" distB="0" distL="0" distR="0">
            <wp:extent cx="1295400" cy="1562100"/>
            <wp:effectExtent l="19050" t="0" r="0" b="0"/>
            <wp:docPr id="1" name="Picture 1" descr="200px-Mendelssohn_Bartholdy">
              <a:hlinkClick xmlns:a="http://schemas.openxmlformats.org/drawingml/2006/main" r:id="rId4" tooltip="פליקס מנדלסון"/>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px-Mendelssohn_Bartholdy"/>
                    <pic:cNvPicPr>
                      <a:picLocks noChangeAspect="1" noChangeArrowheads="1"/>
                    </pic:cNvPicPr>
                  </pic:nvPicPr>
                  <pic:blipFill>
                    <a:blip r:embed="rId5" cstate="print"/>
                    <a:srcRect/>
                    <a:stretch>
                      <a:fillRect/>
                    </a:stretch>
                  </pic:blipFill>
                  <pic:spPr bwMode="auto">
                    <a:xfrm>
                      <a:off x="0" y="0"/>
                      <a:ext cx="1295400" cy="1562100"/>
                    </a:xfrm>
                    <a:prstGeom prst="rect">
                      <a:avLst/>
                    </a:prstGeom>
                    <a:noFill/>
                    <a:ln w="9525">
                      <a:noFill/>
                      <a:miter lim="800000"/>
                      <a:headEnd/>
                      <a:tailEnd/>
                    </a:ln>
                  </pic:spPr>
                </pic:pic>
              </a:graphicData>
            </a:graphic>
          </wp:inline>
        </w:drawing>
      </w:r>
    </w:p>
    <w:p w:rsidR="00B94098" w:rsidRDefault="00B94098" w:rsidP="00B94098">
      <w:pPr>
        <w:pStyle w:val="NormalWeb"/>
        <w:bidi/>
        <w:ind w:left="-341"/>
        <w:jc w:val="both"/>
        <w:rPr>
          <w:rFonts w:hint="cs"/>
          <w:rtl/>
        </w:rPr>
      </w:pPr>
      <w:r>
        <w:rPr>
          <w:rFonts w:hint="cs"/>
          <w:b/>
          <w:bCs/>
          <w:rtl/>
        </w:rPr>
        <w:t>יעקב לודוויג פליקס מנדלסון-בארתולדי</w:t>
      </w:r>
      <w:r>
        <w:rPr>
          <w:rFonts w:hint="cs"/>
          <w:rtl/>
        </w:rPr>
        <w:t xml:space="preserve"> (</w:t>
      </w:r>
      <w:hyperlink r:id="rId6" w:tooltip="3 בפברואר" w:history="1">
        <w:r>
          <w:rPr>
            <w:rStyle w:val="Hyperlink"/>
            <w:rFonts w:hint="cs"/>
            <w:rtl/>
          </w:rPr>
          <w:t>3 בפברואר</w:t>
        </w:r>
      </w:hyperlink>
      <w:r>
        <w:rPr>
          <w:rFonts w:hint="cs"/>
          <w:rtl/>
        </w:rPr>
        <w:t xml:space="preserve"> </w:t>
      </w:r>
      <w:hyperlink r:id="rId7" w:tooltip="1809" w:history="1">
        <w:r>
          <w:rPr>
            <w:rStyle w:val="Hyperlink"/>
            <w:rFonts w:hint="cs"/>
            <w:rtl/>
          </w:rPr>
          <w:t>1809</w:t>
        </w:r>
      </w:hyperlink>
      <w:r>
        <w:rPr>
          <w:rFonts w:hint="cs"/>
          <w:rtl/>
        </w:rPr>
        <w:t xml:space="preserve"> - </w:t>
      </w:r>
      <w:hyperlink r:id="rId8" w:tooltip="4 בנובמבר" w:history="1">
        <w:r>
          <w:rPr>
            <w:rStyle w:val="Hyperlink"/>
            <w:rFonts w:hint="cs"/>
            <w:rtl/>
          </w:rPr>
          <w:t>4 בנובמבר</w:t>
        </w:r>
      </w:hyperlink>
      <w:r>
        <w:rPr>
          <w:rFonts w:hint="cs"/>
          <w:rtl/>
        </w:rPr>
        <w:t xml:space="preserve"> </w:t>
      </w:r>
      <w:hyperlink r:id="rId9" w:tooltip="1847" w:history="1">
        <w:r>
          <w:rPr>
            <w:rStyle w:val="Hyperlink"/>
            <w:rFonts w:hint="cs"/>
            <w:rtl/>
          </w:rPr>
          <w:t>1847</w:t>
        </w:r>
      </w:hyperlink>
      <w:r>
        <w:rPr>
          <w:rFonts w:hint="cs"/>
          <w:rtl/>
        </w:rPr>
        <w:t xml:space="preserve">), </w:t>
      </w:r>
      <w:hyperlink r:id="rId10" w:tooltip="מלחין" w:history="1">
        <w:r>
          <w:rPr>
            <w:rStyle w:val="Hyperlink"/>
            <w:rFonts w:hint="cs"/>
            <w:rtl/>
          </w:rPr>
          <w:t>מלחין</w:t>
        </w:r>
      </w:hyperlink>
      <w:r>
        <w:rPr>
          <w:rFonts w:hint="cs"/>
          <w:rtl/>
        </w:rPr>
        <w:t xml:space="preserve"> </w:t>
      </w:r>
      <w:hyperlink r:id="rId11" w:tooltip="גרמני" w:history="1">
        <w:r>
          <w:rPr>
            <w:rStyle w:val="Hyperlink"/>
            <w:rFonts w:hint="cs"/>
            <w:rtl/>
          </w:rPr>
          <w:t>גרמני</w:t>
        </w:r>
      </w:hyperlink>
      <w:r>
        <w:rPr>
          <w:rFonts w:hint="cs"/>
          <w:rtl/>
        </w:rPr>
        <w:t xml:space="preserve"> ממוצא </w:t>
      </w:r>
      <w:hyperlink r:id="rId12" w:tooltip="יהודי" w:history="1">
        <w:r>
          <w:rPr>
            <w:rStyle w:val="Hyperlink"/>
            <w:rFonts w:hint="cs"/>
            <w:rtl/>
          </w:rPr>
          <w:t>יהודי</w:t>
        </w:r>
      </w:hyperlink>
      <w:r>
        <w:rPr>
          <w:rFonts w:hint="cs"/>
          <w:rtl/>
        </w:rPr>
        <w:t>.</w:t>
      </w:r>
    </w:p>
    <w:p w:rsidR="00B94098" w:rsidRDefault="00B94098" w:rsidP="00B94098">
      <w:pPr>
        <w:pStyle w:val="NormalWeb"/>
        <w:bidi/>
        <w:ind w:left="-341"/>
        <w:jc w:val="both"/>
        <w:rPr>
          <w:rFonts w:hint="cs"/>
          <w:rtl/>
        </w:rPr>
      </w:pPr>
      <w:r>
        <w:rPr>
          <w:rFonts w:hint="cs"/>
          <w:rtl/>
        </w:rPr>
        <w:t>פליקס מנדלסון נולד ב</w:t>
      </w:r>
      <w:hyperlink r:id="rId13" w:tooltip="המבורג" w:history="1">
        <w:r>
          <w:rPr>
            <w:rStyle w:val="Hyperlink"/>
            <w:rFonts w:hint="cs"/>
            <w:rtl/>
          </w:rPr>
          <w:t>המבורג</w:t>
        </w:r>
      </w:hyperlink>
      <w:r>
        <w:rPr>
          <w:rFonts w:hint="cs"/>
          <w:rtl/>
        </w:rPr>
        <w:t xml:space="preserve">, גרמניה למשפחה יהודית </w:t>
      </w:r>
      <w:hyperlink r:id="rId14" w:tooltip="התבוללות" w:history="1">
        <w:r>
          <w:rPr>
            <w:rStyle w:val="Hyperlink"/>
            <w:rFonts w:hint="cs"/>
            <w:rtl/>
          </w:rPr>
          <w:t>מתבוללת</w:t>
        </w:r>
      </w:hyperlink>
      <w:r>
        <w:rPr>
          <w:rFonts w:hint="cs"/>
          <w:rtl/>
        </w:rPr>
        <w:t>. סבו היה ה</w:t>
      </w:r>
      <w:hyperlink r:id="rId15" w:tooltip="פילוסוף" w:history="1">
        <w:r>
          <w:rPr>
            <w:rStyle w:val="Hyperlink"/>
            <w:rFonts w:hint="cs"/>
            <w:rtl/>
          </w:rPr>
          <w:t>פילוסוף</w:t>
        </w:r>
      </w:hyperlink>
      <w:r>
        <w:rPr>
          <w:rFonts w:hint="cs"/>
          <w:rtl/>
        </w:rPr>
        <w:t xml:space="preserve"> היהודי הנודע </w:t>
      </w:r>
      <w:hyperlink r:id="rId16" w:tooltip="משה מנדלסון" w:history="1">
        <w:r>
          <w:rPr>
            <w:rStyle w:val="Hyperlink"/>
            <w:rFonts w:hint="cs"/>
            <w:rtl/>
          </w:rPr>
          <w:t>משה מנדלסון</w:t>
        </w:r>
      </w:hyperlink>
      <w:r>
        <w:rPr>
          <w:rFonts w:hint="cs"/>
          <w:rtl/>
        </w:rPr>
        <w:t xml:space="preserve">. אביו </w:t>
      </w:r>
      <w:hyperlink r:id="rId17" w:tooltip="אברהם מנדלסון-ברתולדי" w:history="1">
        <w:r>
          <w:rPr>
            <w:rStyle w:val="Hyperlink"/>
            <w:rFonts w:hint="cs"/>
            <w:rtl/>
          </w:rPr>
          <w:t>אברהם</w:t>
        </w:r>
      </w:hyperlink>
      <w:r>
        <w:rPr>
          <w:rFonts w:hint="cs"/>
          <w:rtl/>
        </w:rPr>
        <w:t xml:space="preserve"> היה בנקאי ואמו לאה לבית סולומון הייתה מוזיקאית חובבת ברמה גבוהה, והיא זו שלימדה אותו לראשונה את שיעורי ה</w:t>
      </w:r>
      <w:hyperlink r:id="rId18" w:tooltip="מוזיקה" w:history="1">
        <w:r>
          <w:rPr>
            <w:rStyle w:val="Hyperlink"/>
            <w:rFonts w:hint="cs"/>
            <w:rtl/>
          </w:rPr>
          <w:t>מוזיקה</w:t>
        </w:r>
      </w:hyperlink>
      <w:r>
        <w:rPr>
          <w:rFonts w:hint="cs"/>
          <w:rtl/>
        </w:rPr>
        <w:t>. בניגוד למוזיקאים רבים בני תקופתו, גדל מנדלסון במשפחה אמידה למדי. הוריו האמינו שכדי להשתלב בחברה הגרמנית יהא עליהם ל</w:t>
      </w:r>
      <w:hyperlink r:id="rId19" w:tooltip="המרת דת" w:history="1">
        <w:r>
          <w:rPr>
            <w:rStyle w:val="Hyperlink"/>
            <w:rFonts w:hint="cs"/>
            <w:rtl/>
          </w:rPr>
          <w:t>המיר את דתם</w:t>
        </w:r>
      </w:hyperlink>
      <w:r>
        <w:rPr>
          <w:rFonts w:hint="cs"/>
          <w:rtl/>
        </w:rPr>
        <w:t>, ולפיכך בהיותו בן שש הוטבל פליקס ביחד עם שלושת אחיו והיה לנוצרי פרוטסטנטי. כעבור כמה שנים הוטבלו גם הוריו לנצרות. האב החליט לשנות גם את שם המשפחה ובחר להשתמש בשם ברתולדי, כפי שבחר לעצמו אחיה של אשתו, כמה שנים קודם לכן כשהוטבל לנצרות. למרות הלחץ שהפעיל עליו אביו ולמרות שהיה נוצרי אדוק, סירב פליקס עד סוף ימיו לוותר גם על השם מנדלסון.</w:t>
      </w:r>
    </w:p>
    <w:p w:rsidR="00B94098" w:rsidRDefault="00B94098" w:rsidP="00B94098">
      <w:pPr>
        <w:pStyle w:val="NormalWeb"/>
        <w:bidi/>
        <w:ind w:left="-341"/>
        <w:jc w:val="both"/>
        <w:rPr>
          <w:rFonts w:hint="cs"/>
          <w:rtl/>
        </w:rPr>
      </w:pPr>
      <w:r>
        <w:rPr>
          <w:rFonts w:hint="cs"/>
          <w:rtl/>
        </w:rPr>
        <w:t>כבר בילדותו ניכרה בו גאונות מוזיקלית. בגיל 9 ניגן מנדלסון לראשונה בקונצרט פומבי ובגיל 11 התחיל לחבר מוזיקה. גם אחיו ואחיותיו גילו כשרון מוזיקלי. פאני אחותו נהגה אף היא להלחין מוזיקה ושניהם הרבו לנגן את יצירותיהם על פסנתר, כאשר רבקה אחותו הייתה מזמרת ופאול אחיו ניגן בצ'לו. בהיותו בן 15 חיבר מנדלסון את ה</w:t>
      </w:r>
      <w:hyperlink r:id="rId20" w:tooltip="סימפוניה" w:history="1">
        <w:r>
          <w:rPr>
            <w:rStyle w:val="Hyperlink"/>
            <w:rFonts w:hint="cs"/>
            <w:rtl/>
          </w:rPr>
          <w:t>סימפוניה</w:t>
        </w:r>
      </w:hyperlink>
      <w:r>
        <w:rPr>
          <w:rFonts w:hint="cs"/>
          <w:rtl/>
        </w:rPr>
        <w:t xml:space="preserve"> הראשונה שלו, ובגיל 17 חיבר את אחת היצירות הנודעות ביותר שלו: "הפתיחה לחלום ליל קיץ" על פי מחזהו של </w:t>
      </w:r>
      <w:hyperlink r:id="rId21" w:tooltip="ויליאם שייקספיר" w:history="1">
        <w:r>
          <w:rPr>
            <w:rStyle w:val="Hyperlink"/>
            <w:rFonts w:hint="cs"/>
            <w:rtl/>
          </w:rPr>
          <w:t>ויליאם שייקספיר</w:t>
        </w:r>
      </w:hyperlink>
      <w:r>
        <w:rPr>
          <w:rFonts w:hint="cs"/>
          <w:rtl/>
        </w:rPr>
        <w:t>. ו-17 שנה אחרי כן חיבר את הפרקים הנוספים ל"חלום ליל קיץ", לרבות "</w:t>
      </w:r>
      <w:hyperlink r:id="rId22" w:tooltip="מארש" w:history="1">
        <w:r>
          <w:rPr>
            <w:rStyle w:val="Hyperlink"/>
            <w:rFonts w:hint="cs"/>
            <w:rtl/>
          </w:rPr>
          <w:t>מארש</w:t>
        </w:r>
      </w:hyperlink>
      <w:r>
        <w:rPr>
          <w:rFonts w:hint="cs"/>
          <w:rtl/>
        </w:rPr>
        <w:t xml:space="preserve"> החתונה" המפורסם.</w:t>
      </w:r>
    </w:p>
    <w:p w:rsidR="00B94098" w:rsidRDefault="00B94098" w:rsidP="00B94098">
      <w:pPr>
        <w:pStyle w:val="NormalWeb"/>
        <w:bidi/>
        <w:ind w:left="-341"/>
        <w:jc w:val="both"/>
        <w:rPr>
          <w:rFonts w:hint="cs"/>
          <w:rtl/>
        </w:rPr>
      </w:pPr>
      <w:r>
        <w:rPr>
          <w:rFonts w:hint="cs"/>
          <w:rtl/>
        </w:rPr>
        <w:t xml:space="preserve">מגיל 20 החל מנדלסון מסייר בארצות </w:t>
      </w:r>
      <w:hyperlink r:id="rId23" w:tooltip="אירופה" w:history="1">
        <w:r>
          <w:rPr>
            <w:rStyle w:val="Hyperlink"/>
            <w:rFonts w:hint="cs"/>
            <w:rtl/>
          </w:rPr>
          <w:t>אירופה</w:t>
        </w:r>
      </w:hyperlink>
      <w:r>
        <w:rPr>
          <w:rFonts w:hint="cs"/>
          <w:rtl/>
        </w:rPr>
        <w:t xml:space="preserve"> ובמהרה כבש את המרכזים המוזיקליים ביבשת וקנה לו שם של מנצח מזהיר. ביקורו ב</w:t>
      </w:r>
      <w:hyperlink r:id="rId24" w:tooltip="איטליה" w:history="1">
        <w:r>
          <w:rPr>
            <w:rStyle w:val="Hyperlink"/>
            <w:rFonts w:hint="cs"/>
            <w:rtl/>
          </w:rPr>
          <w:t>איטליה</w:t>
        </w:r>
      </w:hyperlink>
      <w:r>
        <w:rPr>
          <w:rFonts w:hint="cs"/>
          <w:rtl/>
        </w:rPr>
        <w:t xml:space="preserve"> וב</w:t>
      </w:r>
      <w:hyperlink r:id="rId25" w:tooltip="סקוטלנד" w:history="1">
        <w:r>
          <w:rPr>
            <w:rStyle w:val="Hyperlink"/>
            <w:rFonts w:hint="cs"/>
            <w:rtl/>
          </w:rPr>
          <w:t>סקוטלנד</w:t>
        </w:r>
      </w:hyperlink>
      <w:r>
        <w:rPr>
          <w:rFonts w:hint="cs"/>
          <w:rtl/>
        </w:rPr>
        <w:t xml:space="preserve"> העניק לו השראה לחיבור כמה מהיצירות הידועות שלו: את הפתיחה "מערת פינגאל" כתב בגרסתה הראשונה כבר בשנת 1830 ואז החל לחבר את הסימפוניה השלישית "הסקוטית" אך סיימה רק תריסר שנים מאוחר יותר. את הסימפוניה הרביעית "האיטלקית" חיבר עד 1833. בנוסעו ל</w:t>
      </w:r>
      <w:hyperlink r:id="rId26" w:tooltip="אנגליה" w:history="1">
        <w:r>
          <w:rPr>
            <w:rStyle w:val="Hyperlink"/>
            <w:rFonts w:hint="cs"/>
            <w:rtl/>
          </w:rPr>
          <w:t>אנגליה</w:t>
        </w:r>
      </w:hyperlink>
      <w:r>
        <w:rPr>
          <w:rFonts w:hint="cs"/>
          <w:rtl/>
        </w:rPr>
        <w:t xml:space="preserve"> התוודע למוזיקה של </w:t>
      </w:r>
      <w:hyperlink r:id="rId27" w:tooltip="גאורג פרידריך הנדל" w:history="1">
        <w:r>
          <w:rPr>
            <w:rStyle w:val="Hyperlink"/>
            <w:rFonts w:hint="cs"/>
            <w:rtl/>
          </w:rPr>
          <w:t>גאורג פרידריך הנדל</w:t>
        </w:r>
      </w:hyperlink>
      <w:r>
        <w:rPr>
          <w:rFonts w:hint="cs"/>
          <w:rtl/>
        </w:rPr>
        <w:t xml:space="preserve"> וברוח זו כתב את היצירה "אליהו" שהיא מהחשובות ביצירות על רקע מקראי.</w:t>
      </w:r>
    </w:p>
    <w:p w:rsidR="00B94098" w:rsidRDefault="00B94098" w:rsidP="00B94098">
      <w:pPr>
        <w:pStyle w:val="NormalWeb"/>
        <w:bidi/>
        <w:ind w:left="-341"/>
        <w:jc w:val="both"/>
      </w:pPr>
      <w:r>
        <w:rPr>
          <w:rFonts w:hint="cs"/>
          <w:rtl/>
        </w:rPr>
        <w:t xml:space="preserve">בשנת 1833 מונה מנדלסון למנהל התזמורת של </w:t>
      </w:r>
      <w:hyperlink r:id="rId28" w:tooltip="דיסלדורף" w:history="1">
        <w:r>
          <w:rPr>
            <w:rStyle w:val="Hyperlink"/>
            <w:rFonts w:hint="cs"/>
            <w:rtl/>
          </w:rPr>
          <w:t>דיסלדורף</w:t>
        </w:r>
      </w:hyperlink>
      <w:r>
        <w:rPr>
          <w:rFonts w:hint="cs"/>
          <w:rtl/>
        </w:rPr>
        <w:t xml:space="preserve">. מ-1835 היה במשך מספר שנים מנצחה של </w:t>
      </w:r>
      <w:hyperlink r:id="rId29" w:tooltip="תזמורת הגוונדהאוס" w:history="1">
        <w:r>
          <w:rPr>
            <w:rStyle w:val="Hyperlink"/>
            <w:rFonts w:hint="cs"/>
            <w:rtl/>
          </w:rPr>
          <w:t>תזמורת הגוונדהאוס</w:t>
        </w:r>
      </w:hyperlink>
      <w:r>
        <w:rPr>
          <w:rFonts w:hint="cs"/>
          <w:rtl/>
        </w:rPr>
        <w:t xml:space="preserve"> ב</w:t>
      </w:r>
      <w:hyperlink r:id="rId30" w:tooltip="לייפציג" w:history="1">
        <w:r>
          <w:rPr>
            <w:rStyle w:val="Hyperlink"/>
            <w:rFonts w:hint="cs"/>
            <w:rtl/>
          </w:rPr>
          <w:t>לייפציג</w:t>
        </w:r>
      </w:hyperlink>
      <w:r>
        <w:rPr>
          <w:rFonts w:hint="cs"/>
          <w:rtl/>
        </w:rPr>
        <w:t xml:space="preserve">, אחת מן המעולות בגרמניה באותם ימים. הוא היה מנצח מהולל והרבה להשמיע לקהל המוקסם יצירות מעולות, ובהן השמעות ראשונות של יצירות מופת, בהן הסימפוניה התשיעית מאת </w:t>
      </w:r>
      <w:hyperlink r:id="rId31" w:tooltip="פרנץ שוברט" w:history="1">
        <w:r>
          <w:rPr>
            <w:rStyle w:val="Hyperlink"/>
            <w:rFonts w:hint="cs"/>
            <w:rtl/>
          </w:rPr>
          <w:t>פרנץ שוברט</w:t>
        </w:r>
      </w:hyperlink>
      <w:r>
        <w:rPr>
          <w:rFonts w:hint="cs"/>
          <w:rtl/>
        </w:rPr>
        <w:t xml:space="preserve">, שרק כעבור עשר שנים לאחר חיבורה, בוצעה נגינת הבכורה שלה על ידי תזמורתו של מנדלסון. כמו כן החזיר לתודעת העולם את </w:t>
      </w:r>
      <w:hyperlink r:id="rId32" w:tooltip="יוהן סבסטיאן באך" w:history="1">
        <w:r>
          <w:rPr>
            <w:rStyle w:val="Hyperlink"/>
            <w:rFonts w:hint="cs"/>
            <w:rtl/>
          </w:rPr>
          <w:t>יוהן סבסטיאן באך</w:t>
        </w:r>
      </w:hyperlink>
      <w:r>
        <w:rPr>
          <w:rFonts w:hint="cs"/>
          <w:rtl/>
        </w:rPr>
        <w:t xml:space="preserve"> שבלעדיו היה נשכח כליל, ובעיקר נודע בביצוע ה</w:t>
      </w:r>
      <w:hyperlink r:id="rId33" w:tooltip="מתאוס פסיון" w:history="1">
        <w:r>
          <w:rPr>
            <w:rStyle w:val="Hyperlink"/>
            <w:rFonts w:hint="cs"/>
            <w:rtl/>
          </w:rPr>
          <w:t>מתאוס פסיון</w:t>
        </w:r>
      </w:hyperlink>
      <w:r>
        <w:rPr>
          <w:rFonts w:hint="cs"/>
          <w:rtl/>
        </w:rPr>
        <w:t xml:space="preserve"> מאת המלחין הדגול. בשנת 1843 ייסד מנדלסון את הקונסרבטוריון למוזיקה ב</w:t>
      </w:r>
      <w:hyperlink r:id="rId34" w:tooltip="לייפציג" w:history="1">
        <w:r>
          <w:rPr>
            <w:rStyle w:val="Hyperlink"/>
            <w:rFonts w:hint="cs"/>
            <w:rtl/>
          </w:rPr>
          <w:t>לייפציג</w:t>
        </w:r>
      </w:hyperlink>
      <w:r>
        <w:rPr>
          <w:rFonts w:hint="cs"/>
          <w:rtl/>
        </w:rPr>
        <w:t xml:space="preserve"> והמשיך לפעול בו עד יום מותו. שם נפטר כעבור ארבע שנים בהיותו בגיל 38. בשנת </w:t>
      </w:r>
      <w:hyperlink r:id="rId35" w:tooltip="2009" w:history="1">
        <w:r>
          <w:rPr>
            <w:rStyle w:val="Hyperlink"/>
            <w:rFonts w:hint="cs"/>
            <w:rtl/>
          </w:rPr>
          <w:t>2009</w:t>
        </w:r>
      </w:hyperlink>
      <w:r>
        <w:rPr>
          <w:rFonts w:hint="cs"/>
          <w:rtl/>
        </w:rPr>
        <w:t>, לרגל 200 שנה להולדתו, הוציא הדואר הגרמני בול לזכרו.</w:t>
      </w:r>
    </w:p>
    <w:p w:rsidR="00B94098" w:rsidRDefault="00B94098" w:rsidP="00B94098">
      <w:pPr>
        <w:pStyle w:val="NormalWeb"/>
        <w:bidi/>
        <w:ind w:left="-341"/>
        <w:jc w:val="both"/>
        <w:rPr>
          <w:rFonts w:cs="David" w:hint="cs"/>
          <w:b/>
          <w:bCs/>
          <w:rtl/>
        </w:rPr>
      </w:pPr>
      <w:r>
        <w:rPr>
          <w:rFonts w:hint="cs"/>
          <w:rtl/>
        </w:rPr>
        <w:t xml:space="preserve">מנדלסון הלחין אורטוריות רבות הלקוחות מכתבי הקודש (למרות היותו נער מומר הצית את דמיונו הספורים הלקוחים מכתבי הקודש ובמיוחד סיפורים הלקוחים מהתנ"ך).. להלן דוגמא של אורטוריה אשר הלחין מנדלסון לסיפורה של </w:t>
      </w:r>
      <w:r w:rsidRPr="00181516">
        <w:rPr>
          <w:rFonts w:cs="David" w:hint="cs"/>
          <w:b/>
          <w:bCs/>
          <w:rtl/>
        </w:rPr>
        <w:t xml:space="preserve">עתליה </w:t>
      </w:r>
      <w:r w:rsidRPr="00181516">
        <w:rPr>
          <w:rFonts w:cs="David"/>
          <w:b/>
          <w:bCs/>
          <w:rtl/>
        </w:rPr>
        <w:t>–</w:t>
      </w:r>
      <w:r w:rsidRPr="00181516">
        <w:rPr>
          <w:rFonts w:cs="David" w:hint="cs"/>
          <w:b/>
          <w:bCs/>
          <w:rtl/>
        </w:rPr>
        <w:t xml:space="preserve"> מחזה מאת ז' רסין, </w:t>
      </w:r>
      <w:r>
        <w:rPr>
          <w:rFonts w:cs="David" w:hint="cs"/>
          <w:b/>
          <w:bCs/>
          <w:rtl/>
        </w:rPr>
        <w:t xml:space="preserve">אשר </w:t>
      </w:r>
      <w:r w:rsidRPr="00181516">
        <w:rPr>
          <w:rFonts w:cs="David" w:hint="cs"/>
          <w:b/>
          <w:bCs/>
          <w:rtl/>
        </w:rPr>
        <w:t>נכתב בשנת 1691</w:t>
      </w:r>
      <w:r>
        <w:rPr>
          <w:rFonts w:cs="David" w:hint="cs"/>
          <w:b/>
          <w:bCs/>
          <w:rtl/>
        </w:rPr>
        <w:t>.</w:t>
      </w:r>
    </w:p>
    <w:p w:rsidR="00B94098" w:rsidRPr="00181516" w:rsidRDefault="00B94098" w:rsidP="00B94098">
      <w:pPr>
        <w:pStyle w:val="NormalWeb"/>
        <w:bidi/>
        <w:ind w:left="-341"/>
        <w:jc w:val="both"/>
        <w:rPr>
          <w:rFonts w:cs="David" w:hint="cs"/>
          <w:color w:val="0000FF"/>
          <w:u w:val="single"/>
          <w:rtl/>
        </w:rPr>
      </w:pPr>
      <w:r w:rsidRPr="00181516">
        <w:rPr>
          <w:rFonts w:cs="David" w:hint="cs"/>
          <w:rtl/>
        </w:rPr>
        <w:lastRenderedPageBreak/>
        <w:t xml:space="preserve">להלן תיאור העלילה </w:t>
      </w:r>
      <w:r>
        <w:rPr>
          <w:rFonts w:cs="David" w:hint="cs"/>
          <w:rtl/>
        </w:rPr>
        <w:t xml:space="preserve">כפי שמופיעה בספר מלכים ב' פרק י"א  ותקציר המחזה: </w:t>
      </w:r>
    </w:p>
    <w:p w:rsidR="00B94098" w:rsidRPr="00181516" w:rsidRDefault="00B94098" w:rsidP="00B94098">
      <w:pPr>
        <w:ind w:left="-341"/>
        <w:rPr>
          <w:rFonts w:cs="David" w:hint="cs"/>
          <w:b/>
          <w:bCs/>
          <w:color w:val="0000FF"/>
          <w:rtl/>
        </w:rPr>
      </w:pPr>
      <w:r w:rsidRPr="00181516">
        <w:rPr>
          <w:rFonts w:cs="David" w:hint="cs"/>
          <w:b/>
          <w:bCs/>
          <w:color w:val="0000FF"/>
          <w:rtl/>
        </w:rPr>
        <w:t>מלכים ב' פרק י'א</w:t>
      </w:r>
    </w:p>
    <w:p w:rsidR="00B94098" w:rsidRPr="00181516" w:rsidRDefault="00B94098" w:rsidP="00B94098">
      <w:pPr>
        <w:ind w:left="-341"/>
        <w:rPr>
          <w:rFonts w:cs="David" w:hint="cs"/>
          <w:color w:val="0000FF"/>
          <w:u w:val="single"/>
          <w:rtl/>
        </w:rPr>
      </w:pPr>
      <w:r w:rsidRPr="00181516">
        <w:rPr>
          <w:rFonts w:cs="David" w:hint="cs"/>
          <w:b/>
          <w:bCs/>
          <w:color w:val="0000FF"/>
          <w:rtl/>
        </w:rPr>
        <w:t xml:space="preserve">א </w:t>
      </w:r>
      <w:r w:rsidRPr="00181516">
        <w:rPr>
          <w:rFonts w:cs="David" w:hint="cs"/>
          <w:color w:val="0000FF"/>
          <w:rtl/>
        </w:rPr>
        <w:t xml:space="preserve">וַעֲתַלְיָה אֵם אֲחַזְיָהוּ, וראתה (רָאֲתָה) כִּי מֵת בְּנָהּ; וַתָּקָם, וַתְּאַבֵּד, אֵת, כָּל-זֶרַע הַמַּמְלָכָה.  </w:t>
      </w:r>
      <w:r w:rsidRPr="00181516">
        <w:rPr>
          <w:rFonts w:cs="David" w:hint="cs"/>
          <w:b/>
          <w:bCs/>
          <w:color w:val="0000FF"/>
          <w:rtl/>
        </w:rPr>
        <w:t>ב</w:t>
      </w:r>
      <w:r w:rsidRPr="00181516">
        <w:rPr>
          <w:rFonts w:cs="David" w:hint="cs"/>
          <w:color w:val="0000FF"/>
          <w:rtl/>
        </w:rPr>
        <w:t xml:space="preserve"> וַתִּקַּח יְהוֹשֶׁבַע בַּת-הַמֶּלֶךְ-יוֹרָם אֲחוֹת אֲחַזְיָהוּ אֶת-יוֹאָשׁ בֶּן-אֲחַזְיָה, וַתִּגְנֹב אֹתוֹ מִתּוֹךְ בְּנֵי-הַמֶּלֶךְ הממותתים (הַמּוּמָתִים)--אֹתוֹ וְאֶת-מֵינִקְתּוֹ, בַּחֲדַר הַמִּטּוֹת; וַיַּסְתִּרוּ אֹתוֹ מִפְּנֵי עֲתַלְיָהוּ, וְלֹא הוּמָת.  </w:t>
      </w:r>
      <w:r w:rsidRPr="00181516">
        <w:rPr>
          <w:rFonts w:cs="David" w:hint="cs"/>
          <w:b/>
          <w:bCs/>
          <w:color w:val="0000FF"/>
          <w:rtl/>
        </w:rPr>
        <w:t>ג</w:t>
      </w:r>
      <w:r w:rsidRPr="00181516">
        <w:rPr>
          <w:rFonts w:cs="David" w:hint="cs"/>
          <w:color w:val="0000FF"/>
          <w:rtl/>
        </w:rPr>
        <w:t xml:space="preserve"> וַיְהִי אִתָּהּ בֵּית יְהוָה, מִתְחַבֵּא שֵׁשׁ שָׁנִים; וַעֲתַלְיָה, מֹלֶכֶת עַל-הָאָרֶץ. </w:t>
      </w:r>
    </w:p>
    <w:p w:rsidR="00B94098" w:rsidRPr="00181516" w:rsidRDefault="00B94098" w:rsidP="00B94098">
      <w:pPr>
        <w:ind w:left="-341"/>
        <w:rPr>
          <w:rFonts w:cs="David" w:hint="cs"/>
          <w:u w:val="single"/>
          <w:rtl/>
        </w:rPr>
      </w:pPr>
    </w:p>
    <w:p w:rsidR="00B94098" w:rsidRPr="003D61A4" w:rsidRDefault="00B94098" w:rsidP="00B94098">
      <w:pPr>
        <w:ind w:left="-341"/>
        <w:rPr>
          <w:b/>
          <w:bCs/>
          <w:sz w:val="28"/>
          <w:szCs w:val="28"/>
          <w:rtl/>
        </w:rPr>
      </w:pPr>
      <w:r w:rsidRPr="003D61A4">
        <w:rPr>
          <w:b/>
          <w:bCs/>
          <w:sz w:val="28"/>
          <w:szCs w:val="28"/>
          <w:rtl/>
        </w:rPr>
        <w:t>תקציר המחזה</w:t>
      </w:r>
    </w:p>
    <w:p w:rsidR="00B94098" w:rsidRPr="00FF4F4E" w:rsidRDefault="00B94098" w:rsidP="00B94098">
      <w:pPr>
        <w:tabs>
          <w:tab w:val="left" w:pos="793"/>
        </w:tabs>
        <w:ind w:left="-341"/>
        <w:rPr>
          <w:rtl/>
        </w:rPr>
      </w:pPr>
      <w:r w:rsidRPr="00FF4F4E">
        <w:rPr>
          <w:rtl/>
        </w:rPr>
        <w:t xml:space="preserve">הנפשות: </w:t>
      </w:r>
      <w:r w:rsidRPr="00FF4F4E">
        <w:rPr>
          <w:rtl/>
        </w:rPr>
        <w:tab/>
        <w:t>יואש בן אחזיה, מלך יהודה. במחזה שמו אליכין</w:t>
      </w:r>
    </w:p>
    <w:p w:rsidR="00B94098" w:rsidRPr="00FF4F4E" w:rsidRDefault="00B94098" w:rsidP="00B94098">
      <w:pPr>
        <w:tabs>
          <w:tab w:val="left" w:pos="793"/>
        </w:tabs>
        <w:ind w:left="-341"/>
        <w:rPr>
          <w:rtl/>
        </w:rPr>
      </w:pPr>
      <w:r w:rsidRPr="00FF4F4E">
        <w:rPr>
          <w:rtl/>
        </w:rPr>
        <w:t xml:space="preserve">             </w:t>
      </w:r>
      <w:r w:rsidRPr="00FF4F4E">
        <w:rPr>
          <w:rtl/>
        </w:rPr>
        <w:tab/>
        <w:t>עתליה, אלמנת המלך יורם, אביו של אחזיה, סבתו של יואש</w:t>
      </w:r>
    </w:p>
    <w:p w:rsidR="00B94098" w:rsidRPr="00FF4F4E" w:rsidRDefault="00B94098" w:rsidP="00B94098">
      <w:pPr>
        <w:tabs>
          <w:tab w:val="left" w:pos="793"/>
        </w:tabs>
        <w:ind w:left="-341"/>
        <w:rPr>
          <w:rtl/>
        </w:rPr>
      </w:pPr>
      <w:r w:rsidRPr="00FF4F4E">
        <w:rPr>
          <w:rtl/>
        </w:rPr>
        <w:t xml:space="preserve">             </w:t>
      </w:r>
      <w:r w:rsidRPr="00FF4F4E">
        <w:rPr>
          <w:rtl/>
        </w:rPr>
        <w:tab/>
        <w:t>יהוידע (במחזה שמו יודע) - הכוהן הגדול</w:t>
      </w:r>
    </w:p>
    <w:p w:rsidR="00B94098" w:rsidRPr="00FF4F4E" w:rsidRDefault="00B94098" w:rsidP="00B94098">
      <w:pPr>
        <w:tabs>
          <w:tab w:val="left" w:pos="793"/>
        </w:tabs>
        <w:ind w:left="-341"/>
        <w:rPr>
          <w:rtl/>
        </w:rPr>
      </w:pPr>
      <w:r w:rsidRPr="00FF4F4E">
        <w:rPr>
          <w:rtl/>
        </w:rPr>
        <w:t xml:space="preserve">             </w:t>
      </w:r>
      <w:r w:rsidRPr="00FF4F4E">
        <w:rPr>
          <w:rtl/>
        </w:rPr>
        <w:tab/>
        <w:t>יהושבעת - אשת הכוהן הגדול, ביתו של המלך יורם</w:t>
      </w:r>
    </w:p>
    <w:p w:rsidR="00B94098" w:rsidRPr="00FF4F4E" w:rsidRDefault="00B94098" w:rsidP="00B94098">
      <w:pPr>
        <w:tabs>
          <w:tab w:val="left" w:pos="793"/>
        </w:tabs>
        <w:ind w:left="-341"/>
        <w:rPr>
          <w:rtl/>
        </w:rPr>
      </w:pPr>
      <w:r w:rsidRPr="00FF4F4E">
        <w:rPr>
          <w:rtl/>
        </w:rPr>
        <w:t xml:space="preserve">           </w:t>
      </w:r>
      <w:r w:rsidRPr="00FF4F4E">
        <w:rPr>
          <w:rtl/>
        </w:rPr>
        <w:tab/>
      </w:r>
      <w:r>
        <w:rPr>
          <w:rFonts w:hint="cs"/>
          <w:rtl/>
        </w:rPr>
        <w:t>ז</w:t>
      </w:r>
      <w:r w:rsidRPr="00FF4F4E">
        <w:rPr>
          <w:rtl/>
        </w:rPr>
        <w:t>כריה – בנם של יודע ויהושבעת</w:t>
      </w:r>
    </w:p>
    <w:p w:rsidR="00B94098" w:rsidRPr="00FF4F4E" w:rsidRDefault="00B94098" w:rsidP="00B94098">
      <w:pPr>
        <w:tabs>
          <w:tab w:val="left" w:pos="793"/>
        </w:tabs>
        <w:ind w:left="-341"/>
        <w:rPr>
          <w:rtl/>
        </w:rPr>
      </w:pPr>
      <w:r w:rsidRPr="00FF4F4E">
        <w:rPr>
          <w:rtl/>
        </w:rPr>
        <w:t xml:space="preserve">           </w:t>
      </w:r>
      <w:r>
        <w:rPr>
          <w:rFonts w:hint="cs"/>
          <w:rtl/>
        </w:rPr>
        <w:t xml:space="preserve">         </w:t>
      </w:r>
      <w:r w:rsidRPr="00FF4F4E">
        <w:rPr>
          <w:rtl/>
        </w:rPr>
        <w:t xml:space="preserve"> אבנר – אחד מראשי הצבא של ממלכת יהודה</w:t>
      </w:r>
    </w:p>
    <w:p w:rsidR="00B94098" w:rsidRPr="00FF4F4E" w:rsidRDefault="00B94098" w:rsidP="00B94098">
      <w:pPr>
        <w:tabs>
          <w:tab w:val="left" w:pos="793"/>
        </w:tabs>
        <w:ind w:left="-341"/>
        <w:rPr>
          <w:rtl/>
        </w:rPr>
      </w:pPr>
      <w:r w:rsidRPr="00FF4F4E">
        <w:rPr>
          <w:rtl/>
        </w:rPr>
        <w:t xml:space="preserve">             </w:t>
      </w:r>
      <w:r w:rsidRPr="00FF4F4E">
        <w:rPr>
          <w:rtl/>
        </w:rPr>
        <w:tab/>
        <w:t>מתן - כוהן הבעל</w:t>
      </w:r>
    </w:p>
    <w:p w:rsidR="00B94098" w:rsidRPr="00FF4F4E" w:rsidRDefault="00B94098" w:rsidP="00B94098">
      <w:pPr>
        <w:tabs>
          <w:tab w:val="left" w:pos="793"/>
        </w:tabs>
        <w:ind w:left="-341"/>
        <w:rPr>
          <w:rtl/>
        </w:rPr>
      </w:pPr>
      <w:r w:rsidRPr="00FF4F4E">
        <w:rPr>
          <w:rtl/>
        </w:rPr>
        <w:t xml:space="preserve">             </w:t>
      </w:r>
      <w:r w:rsidRPr="00FF4F4E">
        <w:rPr>
          <w:rtl/>
        </w:rPr>
        <w:tab/>
        <w:t>קבוצת כוהנים ולוויים ומקהלת נערות צעירות משבט לוי</w:t>
      </w:r>
    </w:p>
    <w:p w:rsidR="00B94098" w:rsidRPr="00FF4F4E" w:rsidRDefault="00B94098" w:rsidP="00B94098">
      <w:pPr>
        <w:ind w:left="-341"/>
        <w:rPr>
          <w:rtl/>
        </w:rPr>
      </w:pPr>
    </w:p>
    <w:p w:rsidR="00B94098" w:rsidRDefault="00B94098" w:rsidP="00B94098">
      <w:pPr>
        <w:ind w:left="-341"/>
        <w:jc w:val="both"/>
        <w:rPr>
          <w:rFonts w:hint="cs"/>
          <w:rtl/>
        </w:rPr>
      </w:pPr>
      <w:r w:rsidRPr="00FF4F4E">
        <w:rPr>
          <w:rtl/>
        </w:rPr>
        <w:t>המחזה מתרחש בבית המקדש בירושלים ב</w:t>
      </w:r>
      <w:r>
        <w:rPr>
          <w:rFonts w:hint="cs"/>
          <w:rtl/>
        </w:rPr>
        <w:t>משכן</w:t>
      </w:r>
      <w:r w:rsidRPr="00FF4F4E">
        <w:rPr>
          <w:rtl/>
        </w:rPr>
        <w:t xml:space="preserve"> הכהן הגדול.</w:t>
      </w:r>
    </w:p>
    <w:p w:rsidR="00B94098" w:rsidRPr="00FF4F4E" w:rsidRDefault="00B94098" w:rsidP="00B94098">
      <w:pPr>
        <w:ind w:left="-341"/>
        <w:jc w:val="both"/>
        <w:rPr>
          <w:b/>
          <w:bCs/>
          <w:rtl/>
        </w:rPr>
      </w:pPr>
      <w:r w:rsidRPr="00FF4F4E">
        <w:rPr>
          <w:b/>
          <w:bCs/>
          <w:rtl/>
        </w:rPr>
        <w:t>מערכה א'</w:t>
      </w:r>
    </w:p>
    <w:p w:rsidR="00B94098" w:rsidRPr="00FF4F4E" w:rsidRDefault="00B94098" w:rsidP="00B94098">
      <w:pPr>
        <w:ind w:left="-341"/>
        <w:jc w:val="both"/>
        <w:rPr>
          <w:rtl/>
        </w:rPr>
      </w:pPr>
    </w:p>
    <w:p w:rsidR="00B94098" w:rsidRPr="00FF4F4E" w:rsidRDefault="00B94098" w:rsidP="00B94098">
      <w:pPr>
        <w:ind w:left="-341"/>
        <w:jc w:val="both"/>
        <w:rPr>
          <w:rtl/>
        </w:rPr>
      </w:pPr>
      <w:r w:rsidRPr="00FF4F4E">
        <w:rPr>
          <w:rtl/>
        </w:rPr>
        <w:t>אקספוזיציה – אבנר, שר הצבא, מספר לכוהן הגדול על שינוי בהתנהגותה של עתליה, דבר המעורר דאגה. יהוידע שם מבטחו באלוהים, אך כדי למנוע כל פעולה מצד עתליה, הוא מציע לחשוף את זהותו של אליכין ולהכריז עליו כמלך יהודה. הוא מגלה את תוכניתו ליהושבעת.</w:t>
      </w:r>
    </w:p>
    <w:p w:rsidR="00B94098" w:rsidRDefault="00B94098" w:rsidP="00B94098">
      <w:pPr>
        <w:ind w:left="-341"/>
        <w:jc w:val="both"/>
        <w:rPr>
          <w:rFonts w:hint="cs"/>
          <w:rtl/>
        </w:rPr>
      </w:pPr>
      <w:r w:rsidRPr="00FF4F4E">
        <w:rPr>
          <w:rtl/>
        </w:rPr>
        <w:t>שירת המקהלה משבחת את ה' על בריאת העולם ובמיוחד על מעמד הר סיני, שבו ניתנה תורה לישראל.</w:t>
      </w:r>
    </w:p>
    <w:p w:rsidR="00B94098" w:rsidRDefault="00B94098" w:rsidP="00B94098">
      <w:pPr>
        <w:ind w:left="-341"/>
        <w:jc w:val="both"/>
        <w:rPr>
          <w:rFonts w:hint="cs"/>
          <w:rtl/>
        </w:rPr>
      </w:pPr>
    </w:p>
    <w:p w:rsidR="00B94098" w:rsidRPr="00FF4F4E" w:rsidRDefault="00B94098" w:rsidP="00B94098">
      <w:pPr>
        <w:ind w:left="-341"/>
        <w:jc w:val="both"/>
        <w:rPr>
          <w:rtl/>
        </w:rPr>
      </w:pPr>
    </w:p>
    <w:p w:rsidR="00B94098" w:rsidRPr="00FF4F4E" w:rsidRDefault="00B94098" w:rsidP="00B94098">
      <w:pPr>
        <w:ind w:left="-341"/>
        <w:jc w:val="both"/>
        <w:rPr>
          <w:rtl/>
        </w:rPr>
      </w:pPr>
    </w:p>
    <w:p w:rsidR="00B94098" w:rsidRPr="00FF4F4E" w:rsidRDefault="00B94098" w:rsidP="00B94098">
      <w:pPr>
        <w:ind w:left="-341"/>
        <w:jc w:val="both"/>
        <w:rPr>
          <w:b/>
          <w:bCs/>
          <w:rtl/>
        </w:rPr>
      </w:pPr>
      <w:r w:rsidRPr="00FF4F4E">
        <w:rPr>
          <w:b/>
          <w:bCs/>
          <w:rtl/>
        </w:rPr>
        <w:t xml:space="preserve">מערכה ב'  </w:t>
      </w:r>
    </w:p>
    <w:p w:rsidR="00B94098" w:rsidRPr="00FF4F4E" w:rsidRDefault="00B94098" w:rsidP="00B94098">
      <w:pPr>
        <w:ind w:left="-341"/>
        <w:jc w:val="both"/>
        <w:rPr>
          <w:rtl/>
        </w:rPr>
      </w:pPr>
      <w:r w:rsidRPr="00FF4F4E">
        <w:rPr>
          <w:rtl/>
        </w:rPr>
        <w:t>יהושבעת מפסיקה את שירת המקהלה, כי עתליה העזה להיכנס למקדש ולהתקרב אל המזבח בדיוק בעת טקס הבאת הביכורים בחג השבועות. בעת הגיעה לשם ראתה את אליכין ונדהמה, כי בחלומה ראתה ילד צעיר, הדומה דמיון מפתיע לאליכין, והוא תוקע פגיון בליבה. היא מבקשת לאפשר לה לשוחח עמו ומופתעת מתשובותיו החכמות, ומציעה לו לבוא להתגורר עמה בארמון וליהנות מחיים טובים. אליכין מסרב ואומר, שהדבר הטוב ביותר עבורו הוא להישאר במקדש וללמוד תורה.</w:t>
      </w:r>
    </w:p>
    <w:p w:rsidR="00B94098" w:rsidRPr="00FF4F4E" w:rsidRDefault="00B94098" w:rsidP="00B94098">
      <w:pPr>
        <w:ind w:left="-341"/>
        <w:jc w:val="both"/>
        <w:rPr>
          <w:rtl/>
        </w:rPr>
      </w:pPr>
      <w:r w:rsidRPr="00FF4F4E">
        <w:rPr>
          <w:rtl/>
        </w:rPr>
        <w:t>שירת המקהלה מהללת את אליכין ומשווה אותו לשמואל הנביא, אשר אף הוא גדל והתחנך במשכן בשילה.</w:t>
      </w:r>
    </w:p>
    <w:p w:rsidR="00B94098" w:rsidRPr="00181516" w:rsidRDefault="00B94098" w:rsidP="00B94098">
      <w:pPr>
        <w:ind w:left="-341"/>
        <w:rPr>
          <w:rFonts w:cs="David" w:hint="cs"/>
          <w:rtl/>
        </w:rPr>
      </w:pPr>
    </w:p>
    <w:p w:rsidR="00B94098" w:rsidRPr="00FF4F4E" w:rsidRDefault="00B94098" w:rsidP="00B94098">
      <w:pPr>
        <w:ind w:left="-341"/>
        <w:jc w:val="both"/>
        <w:rPr>
          <w:b/>
          <w:bCs/>
          <w:rtl/>
        </w:rPr>
      </w:pPr>
      <w:r w:rsidRPr="00FF4F4E">
        <w:rPr>
          <w:b/>
          <w:bCs/>
          <w:rtl/>
        </w:rPr>
        <w:t xml:space="preserve">מערכה ג' </w:t>
      </w:r>
    </w:p>
    <w:p w:rsidR="00B94098" w:rsidRPr="00FF4F4E" w:rsidRDefault="00B94098" w:rsidP="00B94098">
      <w:pPr>
        <w:ind w:left="-341"/>
        <w:jc w:val="both"/>
        <w:rPr>
          <w:rtl/>
        </w:rPr>
      </w:pPr>
      <w:r w:rsidRPr="00FF4F4E">
        <w:rPr>
          <w:rtl/>
        </w:rPr>
        <w:t>מתן, כוהן הבעל, מחפש את יהושבעת ומנסה לשכנעה למסור לידיו את אליכין. סירובה מעורר בו את החשד באשר לנסיבות הולדתו המסתורית. הכוהן הגדול נכנס ומגרש אותו מהמקדש, בכנותו אותו בוגד באלוהים. יהושבעת חוששת מאוד ממתן ומציעה ליהוידע, שתברח יחד עם אליכין ותבקש חסות אצל יהוא מלך ישראל. יהוידע מתנגד נחרצות, וברוח הקודש הוא מתנבא על עתידו המזהיר של יואש.</w:t>
      </w:r>
    </w:p>
    <w:p w:rsidR="00B94098" w:rsidRDefault="00B94098" w:rsidP="00B94098">
      <w:pPr>
        <w:ind w:left="-341"/>
        <w:jc w:val="both"/>
        <w:rPr>
          <w:rFonts w:hint="cs"/>
          <w:rtl/>
        </w:rPr>
      </w:pPr>
      <w:r w:rsidRPr="00FF4F4E">
        <w:rPr>
          <w:rtl/>
        </w:rPr>
        <w:t>שירת המקהלה מתחלקת בין אלה המקוננות על מצבה העגום של ציון, לבין אלה המעודדות והבוטחות בישועת אלוהים.</w:t>
      </w:r>
    </w:p>
    <w:p w:rsidR="00B94098" w:rsidRDefault="00B94098" w:rsidP="00B94098">
      <w:pPr>
        <w:ind w:left="-341"/>
        <w:jc w:val="both"/>
        <w:rPr>
          <w:rFonts w:hint="cs"/>
          <w:rtl/>
        </w:rPr>
      </w:pPr>
    </w:p>
    <w:p w:rsidR="00B94098" w:rsidRDefault="00B94098" w:rsidP="00B94098">
      <w:pPr>
        <w:ind w:left="-341"/>
        <w:jc w:val="both"/>
        <w:rPr>
          <w:rFonts w:hint="cs"/>
          <w:b/>
          <w:bCs/>
          <w:rtl/>
        </w:rPr>
      </w:pPr>
    </w:p>
    <w:p w:rsidR="00B94098" w:rsidRPr="00FF4F4E" w:rsidRDefault="00B94098" w:rsidP="00B94098">
      <w:pPr>
        <w:ind w:left="-341"/>
        <w:jc w:val="both"/>
        <w:rPr>
          <w:b/>
          <w:bCs/>
          <w:rtl/>
        </w:rPr>
      </w:pPr>
      <w:r w:rsidRPr="00FF4F4E">
        <w:rPr>
          <w:b/>
          <w:bCs/>
          <w:rtl/>
        </w:rPr>
        <w:t>מערכה ד'</w:t>
      </w:r>
    </w:p>
    <w:p w:rsidR="00B94098" w:rsidRPr="00FF4F4E" w:rsidRDefault="00B94098" w:rsidP="00B94098">
      <w:pPr>
        <w:ind w:left="-341"/>
        <w:jc w:val="both"/>
        <w:rPr>
          <w:rtl/>
        </w:rPr>
      </w:pPr>
      <w:r w:rsidRPr="00FF4F4E">
        <w:rPr>
          <w:rtl/>
        </w:rPr>
        <w:t>יהוידע מגלה לאליכין את זהותו האמיתית, ומציגו בפני הכוהנים והלוויים כיואש מלך יהודה. הם נשבעים לו אמונים ומבטיחים להגן עליו. אחד הלוויים מגיע בריצה ומודיע שהמקדש מוקף בחיילי עתליה. יהוידע מארגן את ההגנה, ומבקש להוציא מהמחבוא את כלי הנשק, אשר דויד המלך ביקש להסתיר במקדש.</w:t>
      </w:r>
    </w:p>
    <w:p w:rsidR="00B94098" w:rsidRDefault="00B94098" w:rsidP="00B94098">
      <w:pPr>
        <w:ind w:left="-341"/>
        <w:jc w:val="both"/>
        <w:rPr>
          <w:rFonts w:hint="cs"/>
          <w:rtl/>
        </w:rPr>
      </w:pPr>
      <w:r w:rsidRPr="00FF4F4E">
        <w:rPr>
          <w:rtl/>
        </w:rPr>
        <w:t>שירת המקהלה מעודדת את הכוהנים והלוויים.</w:t>
      </w:r>
    </w:p>
    <w:p w:rsidR="00B94098" w:rsidRDefault="00B94098" w:rsidP="00B94098">
      <w:pPr>
        <w:ind w:left="-341"/>
        <w:jc w:val="both"/>
        <w:rPr>
          <w:rFonts w:hint="cs"/>
          <w:rtl/>
        </w:rPr>
      </w:pPr>
    </w:p>
    <w:p w:rsidR="00B94098" w:rsidRDefault="00B94098" w:rsidP="00B94098">
      <w:pPr>
        <w:ind w:left="-341"/>
        <w:jc w:val="both"/>
        <w:rPr>
          <w:rFonts w:hint="cs"/>
          <w:rtl/>
        </w:rPr>
      </w:pPr>
    </w:p>
    <w:p w:rsidR="00B94098" w:rsidRPr="00FF4F4E" w:rsidRDefault="00B94098" w:rsidP="00B94098">
      <w:pPr>
        <w:ind w:left="-341"/>
        <w:jc w:val="both"/>
        <w:rPr>
          <w:b/>
          <w:bCs/>
          <w:rtl/>
        </w:rPr>
      </w:pPr>
      <w:r w:rsidRPr="00FF4F4E">
        <w:rPr>
          <w:b/>
          <w:bCs/>
          <w:rtl/>
        </w:rPr>
        <w:t>מערכה ה'</w:t>
      </w:r>
    </w:p>
    <w:p w:rsidR="00B94098" w:rsidRPr="00FF4F4E" w:rsidRDefault="00B94098" w:rsidP="00B94098">
      <w:pPr>
        <w:ind w:left="-341"/>
        <w:jc w:val="both"/>
        <w:rPr>
          <w:rtl/>
        </w:rPr>
      </w:pPr>
      <w:r w:rsidRPr="00FF4F4E">
        <w:rPr>
          <w:rtl/>
        </w:rPr>
        <w:t>זכריה מודיע כי יואש עומד להיות מוכתר למלך וכי פקודת הקרב ניתנה. אבנר מודיע מהם תנאי עתליה לביטול המלחמה: עליהם למסור לידיה את אליכין ואת אוצרות דויד המוחבאים במקדש. יהוידע מודיע, שאם עתליה רוצה את אליכין, עליה לבוא בעצמה לקחתו. היא מופיעה במקדש ומאיימת, שאם לא ימלאו את בקשתה, היא תורה לשרוף את בית המקדש ולהרוג את כל הכוהנים והלוויים. יהוידע מכתיר את אליכין ומודיע שהוא יואש מלך יהודה. כל הקהל מריע ומשמיע תרועות חצוצרות. מודיעים לה, שמתן, כוהן הבעל, נרצח. עתליה מובלת מחוץ למקדש ונהרגת בחרב. העם חוגג את הכתרתו של יואש.</w:t>
      </w:r>
    </w:p>
    <w:p w:rsidR="00B94098" w:rsidRPr="00FF4F4E" w:rsidRDefault="00B94098" w:rsidP="00B94098">
      <w:pPr>
        <w:ind w:left="-341"/>
        <w:rPr>
          <w:rtl/>
        </w:rPr>
      </w:pPr>
    </w:p>
    <w:p w:rsidR="00B94098" w:rsidRPr="00FF4F4E" w:rsidRDefault="00B94098" w:rsidP="00B94098">
      <w:pPr>
        <w:ind w:left="-341"/>
        <w:rPr>
          <w:b/>
          <w:bCs/>
          <w:rtl/>
        </w:rPr>
      </w:pPr>
      <w:r w:rsidRPr="00FF4F4E">
        <w:rPr>
          <w:b/>
          <w:bCs/>
          <w:rtl/>
        </w:rPr>
        <w:t xml:space="preserve">הערה על תפקיד המקהלה במחזה </w:t>
      </w:r>
    </w:p>
    <w:p w:rsidR="00B94098" w:rsidRPr="00FF4F4E" w:rsidRDefault="00B94098" w:rsidP="00B94098">
      <w:pPr>
        <w:ind w:left="-341"/>
        <w:rPr>
          <w:rtl/>
        </w:rPr>
      </w:pPr>
      <w:r w:rsidRPr="00FF4F4E">
        <w:rPr>
          <w:rtl/>
        </w:rPr>
        <w:t xml:space="preserve">היה נהוג אז להציג מחזות ברצף ללא הפסקה, ולכן בין מערכה למערכה הופיעה המקהלה ואפשרה לשחקנים לנוח מעט. לכן אין שירת מקהלה בסוף המחזה. </w:t>
      </w:r>
    </w:p>
    <w:p w:rsidR="00B94098" w:rsidRPr="00181516" w:rsidRDefault="00B94098" w:rsidP="00B94098">
      <w:pPr>
        <w:ind w:left="-341"/>
        <w:rPr>
          <w:rFonts w:cs="David" w:hint="cs"/>
          <w:rtl/>
        </w:rPr>
      </w:pPr>
    </w:p>
    <w:p w:rsidR="00B94098" w:rsidRDefault="00B94098" w:rsidP="00B94098">
      <w:pPr>
        <w:ind w:left="-341"/>
        <w:rPr>
          <w:rFonts w:cs="David" w:hint="cs"/>
          <w:color w:val="0000FF"/>
          <w:rtl/>
        </w:rPr>
      </w:pPr>
      <w:r w:rsidRPr="00181516">
        <w:rPr>
          <w:rFonts w:cs="David" w:hint="cs"/>
          <w:b/>
          <w:bCs/>
          <w:color w:val="0000FF"/>
          <w:rtl/>
        </w:rPr>
        <w:t>יז</w:t>
      </w:r>
      <w:r w:rsidRPr="00181516">
        <w:rPr>
          <w:rFonts w:cs="David" w:hint="cs"/>
          <w:color w:val="0000FF"/>
          <w:rtl/>
        </w:rPr>
        <w:t xml:space="preserve"> וַיִּכְרֹת יְהוֹיָדָע אֶת-הַבְּרִית, בֵּין יְהוָה וּבֵין הַמֶּלֶךְ וּבֵין הָעָם, לִהְיוֹת לְעָם, לַיהוָה; וּבֵין הַמֶּלֶךְ, וּבֵין הָעָם.  </w:t>
      </w:r>
      <w:bookmarkStart w:id="0" w:name="18"/>
      <w:bookmarkEnd w:id="0"/>
      <w:r w:rsidRPr="00181516">
        <w:rPr>
          <w:rFonts w:cs="David" w:hint="cs"/>
          <w:b/>
          <w:bCs/>
          <w:color w:val="0000FF"/>
          <w:rtl/>
        </w:rPr>
        <w:t>יח</w:t>
      </w:r>
      <w:r w:rsidRPr="00181516">
        <w:rPr>
          <w:rFonts w:cs="David" w:hint="cs"/>
          <w:color w:val="0000FF"/>
          <w:rtl/>
        </w:rPr>
        <w:t xml:space="preserve"> וַיָּבֹאוּ כָל-עַם הָאָרֶץ בֵּית-הַבַּעַל וַיִּתְּצֻהוּ, אֶת-מִזְבְּחֹתָו וְאֶת-צְלָמָיו שִׁבְּרוּ הֵיטֵב, וְאֵת מַתָּן כֹּהֵן הַבַּעַל, הָרְגוּ לִפְנֵי הַמִּזְבְּחוֹת; וַיָּשֶׂם הַכֹּהֵן פְּקֻדֹּת, עַל-בֵּית יְהוָה.  </w:t>
      </w:r>
      <w:bookmarkStart w:id="1" w:name="19"/>
      <w:bookmarkEnd w:id="1"/>
      <w:r w:rsidRPr="00181516">
        <w:rPr>
          <w:rFonts w:cs="David" w:hint="cs"/>
          <w:b/>
          <w:bCs/>
          <w:color w:val="0000FF"/>
          <w:rtl/>
        </w:rPr>
        <w:t>יט</w:t>
      </w:r>
      <w:r w:rsidRPr="00181516">
        <w:rPr>
          <w:rFonts w:cs="David" w:hint="cs"/>
          <w:color w:val="0000FF"/>
          <w:rtl/>
        </w:rPr>
        <w:t xml:space="preserve"> וַיִּקַּח אֶת-שָׂרֵי הַמֵּאוֹת וְאֶת-הַכָּרִי וְאֶת-הָרָצִים וְאֵת כָּל-עַם הָאָרֶץ, וַיֹּרִידוּ אֶת-הַמֶּלֶךְ מִבֵּית יְהוָה, וַיָּבוֹאוּ דֶּרֶךְ-שַׁעַר הָרָצִים, בֵּית הַמֶּלֶךְ; וַיֵּשֶׁב, עַל-כִּסֵּא הַמְּלָכִים.  </w:t>
      </w:r>
      <w:bookmarkStart w:id="2" w:name="20"/>
      <w:bookmarkEnd w:id="2"/>
      <w:r w:rsidRPr="00181516">
        <w:rPr>
          <w:rFonts w:cs="David" w:hint="cs"/>
          <w:b/>
          <w:bCs/>
          <w:color w:val="0000FF"/>
          <w:rtl/>
        </w:rPr>
        <w:t>כ</w:t>
      </w:r>
      <w:r w:rsidRPr="00181516">
        <w:rPr>
          <w:rFonts w:cs="David" w:hint="cs"/>
          <w:color w:val="0000FF"/>
          <w:rtl/>
        </w:rPr>
        <w:t xml:space="preserve"> וַיִּשְׂמַח כָּל-עַם-הָאָרֶץ, וְהָעִיר שָׁקָטָה; וְאֶת-עֲתַלְיָהוּ הֵמִיתוּ בַחֶרֶב, בֵּית מלך (הַמֶּלֶךְ). </w:t>
      </w:r>
    </w:p>
    <w:p w:rsidR="00B94098" w:rsidRDefault="00B94098" w:rsidP="00B94098">
      <w:pPr>
        <w:ind w:left="-341"/>
        <w:rPr>
          <w:rFonts w:cs="David" w:hint="cs"/>
          <w:color w:val="0000FF"/>
          <w:rtl/>
        </w:rPr>
      </w:pPr>
    </w:p>
    <w:p w:rsidR="005652A9" w:rsidRDefault="005652A9" w:rsidP="00B94098">
      <w:pPr>
        <w:ind w:left="-341"/>
      </w:pPr>
    </w:p>
    <w:sectPr w:rsidR="005652A9" w:rsidSect="00BF62D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4098"/>
    <w:rsid w:val="005652A9"/>
    <w:rsid w:val="00B94098"/>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098"/>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94098"/>
    <w:pPr>
      <w:bidi w:val="0"/>
      <w:spacing w:before="100" w:beforeAutospacing="1" w:after="100" w:afterAutospacing="1"/>
    </w:pPr>
  </w:style>
  <w:style w:type="character" w:styleId="Hyperlink">
    <w:name w:val="Hyperlink"/>
    <w:basedOn w:val="DefaultParagraphFont"/>
    <w:uiPriority w:val="99"/>
    <w:rsid w:val="00B94098"/>
    <w:rPr>
      <w:color w:val="0000FF"/>
      <w:u w:val="single"/>
    </w:rPr>
  </w:style>
  <w:style w:type="paragraph" w:styleId="BalloonText">
    <w:name w:val="Balloon Text"/>
    <w:basedOn w:val="Normal"/>
    <w:link w:val="BalloonTextChar"/>
    <w:uiPriority w:val="99"/>
    <w:semiHidden/>
    <w:unhideWhenUsed/>
    <w:rsid w:val="00B94098"/>
    <w:rPr>
      <w:rFonts w:ascii="Tahoma" w:hAnsi="Tahoma" w:cs="Tahoma"/>
      <w:sz w:val="16"/>
      <w:szCs w:val="16"/>
    </w:rPr>
  </w:style>
  <w:style w:type="character" w:customStyle="1" w:styleId="BalloonTextChar">
    <w:name w:val="Balloon Text Char"/>
    <w:basedOn w:val="DefaultParagraphFont"/>
    <w:link w:val="BalloonText"/>
    <w:uiPriority w:val="99"/>
    <w:semiHidden/>
    <w:rsid w:val="00B94098"/>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wikipedia.org/wiki/4_%D7%91%D7%A0%D7%95%D7%91%D7%9E%D7%91%D7%A8" TargetMode="External"/><Relationship Id="rId13" Type="http://schemas.openxmlformats.org/officeDocument/2006/relationships/hyperlink" Target="http://he.wikipedia.org/wiki/%D7%94%D7%9E%D7%91%D7%95%D7%A8%D7%92" TargetMode="External"/><Relationship Id="rId18" Type="http://schemas.openxmlformats.org/officeDocument/2006/relationships/hyperlink" Target="http://he.wikipedia.org/wiki/%D7%9E%D7%95%D7%96%D7%99%D7%A7%D7%94" TargetMode="External"/><Relationship Id="rId26" Type="http://schemas.openxmlformats.org/officeDocument/2006/relationships/hyperlink" Target="http://he.wikipedia.org/wiki/%D7%90%D7%A0%D7%92%D7%9C%D7%99%D7%94" TargetMode="External"/><Relationship Id="rId3" Type="http://schemas.openxmlformats.org/officeDocument/2006/relationships/webSettings" Target="webSettings.xml"/><Relationship Id="rId21" Type="http://schemas.openxmlformats.org/officeDocument/2006/relationships/hyperlink" Target="http://he.wikipedia.org/wiki/%D7%95%D7%99%D7%9C%D7%99%D7%90%D7%9D_%D7%A9%D7%99%D7%99%D7%A7%D7%A1%D7%A4%D7%99%D7%A8" TargetMode="External"/><Relationship Id="rId34" Type="http://schemas.openxmlformats.org/officeDocument/2006/relationships/hyperlink" Target="http://he.wikipedia.org/wiki/%D7%9C%D7%99%D7%99%D7%A4%D7%A6%D7%99%D7%92" TargetMode="External"/><Relationship Id="rId7" Type="http://schemas.openxmlformats.org/officeDocument/2006/relationships/hyperlink" Target="http://he.wikipedia.org/wiki/1809" TargetMode="External"/><Relationship Id="rId12" Type="http://schemas.openxmlformats.org/officeDocument/2006/relationships/hyperlink" Target="http://he.wikipedia.org/wiki/%D7%99%D7%94%D7%95%D7%93%D7%99" TargetMode="External"/><Relationship Id="rId17" Type="http://schemas.openxmlformats.org/officeDocument/2006/relationships/hyperlink" Target="http://he.wikipedia.org/wiki/%D7%90%D7%91%D7%A8%D7%94%D7%9D_%D7%9E%D7%A0%D7%93%D7%9C%D7%A1%D7%95%D7%9F-%D7%91%D7%A8%D7%AA%D7%95%D7%9C%D7%93%D7%99" TargetMode="External"/><Relationship Id="rId25" Type="http://schemas.openxmlformats.org/officeDocument/2006/relationships/hyperlink" Target="http://he.wikipedia.org/wiki/%D7%A1%D7%A7%D7%95%D7%98%D7%9C%D7%A0%D7%93" TargetMode="External"/><Relationship Id="rId33" Type="http://schemas.openxmlformats.org/officeDocument/2006/relationships/hyperlink" Target="http://he.wikipedia.org/wiki/%D7%9E%D7%AA%D7%90%D7%95%D7%A1_%D7%A4%D7%A1%D7%99%D7%95%D7%9F" TargetMode="External"/><Relationship Id="rId2" Type="http://schemas.openxmlformats.org/officeDocument/2006/relationships/settings" Target="settings.xml"/><Relationship Id="rId16" Type="http://schemas.openxmlformats.org/officeDocument/2006/relationships/hyperlink" Target="http://he.wikipedia.org/wiki/%D7%9E%D7%A9%D7%94_%D7%9E%D7%A0%D7%93%D7%9C%D7%A1%D7%95%D7%9F" TargetMode="External"/><Relationship Id="rId20" Type="http://schemas.openxmlformats.org/officeDocument/2006/relationships/hyperlink" Target="http://he.wikipedia.org/wiki/%D7%A1%D7%99%D7%9E%D7%A4%D7%95%D7%A0%D7%99%D7%94" TargetMode="External"/><Relationship Id="rId29" Type="http://schemas.openxmlformats.org/officeDocument/2006/relationships/hyperlink" Target="http://he.wikipedia.org/wiki/%D7%AA%D7%96%D7%9E%D7%95%D7%A8%D7%AA_%D7%94%D7%92%D7%95%D7%95%D7%A0%D7%93%D7%94%D7%90%D7%95%D7%A1" TargetMode="External"/><Relationship Id="rId1" Type="http://schemas.openxmlformats.org/officeDocument/2006/relationships/styles" Target="styles.xml"/><Relationship Id="rId6" Type="http://schemas.openxmlformats.org/officeDocument/2006/relationships/hyperlink" Target="http://he.wikipedia.org/wiki/3_%D7%91%D7%A4%D7%91%D7%A8%D7%95%D7%90%D7%A8" TargetMode="External"/><Relationship Id="rId11" Type="http://schemas.openxmlformats.org/officeDocument/2006/relationships/hyperlink" Target="http://he.wikipedia.org/wiki/%D7%92%D7%A8%D7%9E%D7%A0%D7%99" TargetMode="External"/><Relationship Id="rId24" Type="http://schemas.openxmlformats.org/officeDocument/2006/relationships/hyperlink" Target="http://he.wikipedia.org/wiki/%D7%90%D7%99%D7%98%D7%9C%D7%99%D7%94" TargetMode="External"/><Relationship Id="rId32" Type="http://schemas.openxmlformats.org/officeDocument/2006/relationships/hyperlink" Target="http://he.wikipedia.org/wiki/%D7%99%D7%95%D7%94%D7%9F_%D7%A1%D7%91%D7%A1%D7%98%D7%99%D7%90%D7%9F_%D7%91%D7%90%D7%9A" TargetMode="External"/><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he.wikipedia.org/wiki/%D7%A4%D7%99%D7%9C%D7%95%D7%A1%D7%95%D7%A3" TargetMode="External"/><Relationship Id="rId23" Type="http://schemas.openxmlformats.org/officeDocument/2006/relationships/hyperlink" Target="http://he.wikipedia.org/wiki/%D7%90%D7%99%D7%A8%D7%95%D7%A4%D7%94" TargetMode="External"/><Relationship Id="rId28" Type="http://schemas.openxmlformats.org/officeDocument/2006/relationships/hyperlink" Target="http://he.wikipedia.org/wiki/%D7%93%D7%99%D7%A1%D7%9C%D7%93%D7%95%D7%A8%D7%A3" TargetMode="External"/><Relationship Id="rId36" Type="http://schemas.openxmlformats.org/officeDocument/2006/relationships/fontTable" Target="fontTable.xml"/><Relationship Id="rId10" Type="http://schemas.openxmlformats.org/officeDocument/2006/relationships/hyperlink" Target="http://he.wikipedia.org/wiki/%D7%9E%D7%9C%D7%97%D7%99%D7%9F" TargetMode="External"/><Relationship Id="rId19" Type="http://schemas.openxmlformats.org/officeDocument/2006/relationships/hyperlink" Target="http://he.wikipedia.org/wiki/%D7%94%D7%9E%D7%A8%D7%AA_%D7%93%D7%AA" TargetMode="External"/><Relationship Id="rId31" Type="http://schemas.openxmlformats.org/officeDocument/2006/relationships/hyperlink" Target="http://he.wikipedia.org/wiki/%D7%A4%D7%A8%D7%A0%D7%A5_%D7%A9%D7%95%D7%91%D7%A8%D7%98" TargetMode="External"/><Relationship Id="rId4" Type="http://schemas.openxmlformats.org/officeDocument/2006/relationships/hyperlink" Target="http://he.wikipedia.org/wiki/%D7%A7%D7%95%D7%91%D7%A5:Mendelssohn_Bartholdy.jpg" TargetMode="External"/><Relationship Id="rId9" Type="http://schemas.openxmlformats.org/officeDocument/2006/relationships/hyperlink" Target="http://he.wikipedia.org/wiki/1847" TargetMode="External"/><Relationship Id="rId14" Type="http://schemas.openxmlformats.org/officeDocument/2006/relationships/hyperlink" Target="http://he.wikipedia.org/wiki/%D7%94%D7%AA%D7%91%D7%95%D7%9C%D7%9C%D7%95%D7%AA" TargetMode="External"/><Relationship Id="rId22" Type="http://schemas.openxmlformats.org/officeDocument/2006/relationships/hyperlink" Target="http://he.wikipedia.org/wiki/%D7%9E%D7%90%D7%A8%D7%A9" TargetMode="External"/><Relationship Id="rId27" Type="http://schemas.openxmlformats.org/officeDocument/2006/relationships/hyperlink" Target="http://he.wikipedia.org/wiki/%D7%92%D7%90%D7%95%D7%A8%D7%92_%D7%A4%D7%A8%D7%99%D7%93%D7%A8%D7%99%D7%9A_%D7%94%D7%A0%D7%93%D7%9C" TargetMode="External"/><Relationship Id="rId30" Type="http://schemas.openxmlformats.org/officeDocument/2006/relationships/hyperlink" Target="http://he.wikipedia.org/wiki/%D7%9C%D7%99%D7%99%D7%A4%D7%A6%D7%99%D7%92" TargetMode="External"/><Relationship Id="rId35" Type="http://schemas.openxmlformats.org/officeDocument/2006/relationships/hyperlink" Target="http://he.wikipedia.org/wiki/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1670</Words>
  <Characters>8355</Characters>
  <Application>Microsoft Office Word</Application>
  <DocSecurity>0</DocSecurity>
  <Lines>69</Lines>
  <Paragraphs>20</Paragraphs>
  <ScaleCrop>false</ScaleCrop>
  <Company>Home</Company>
  <LinksUpToDate>false</LinksUpToDate>
  <CharactersWithSpaces>10005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2012-02-26T15:51:00Z</dcterms:created>
  <dcterms:modified xsi:type="dcterms:W3CDTF">2012-02-26T15:53:00Z</dcterms:modified>
</cp:coreProperties>
</file>