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875" w:rsidRDefault="007B6875" w:rsidP="007B6875">
      <w:pPr>
        <w:tabs>
          <w:tab w:val="left" w:pos="180"/>
          <w:tab w:val="left" w:pos="360"/>
          <w:tab w:val="left" w:pos="1981"/>
        </w:tabs>
        <w:ind w:left="-180"/>
        <w:rPr>
          <w:rFonts w:hint="cs"/>
          <w:rtl/>
        </w:rPr>
      </w:pPr>
      <w:r w:rsidRPr="007B6875">
        <w:rPr>
          <w:rFonts w:hint="cs"/>
          <w:b/>
          <w:bCs/>
          <w:color w:val="FF0000"/>
          <w:sz w:val="28"/>
          <w:szCs w:val="28"/>
          <w:rtl/>
        </w:rPr>
        <w:t xml:space="preserve">     </w:t>
      </w:r>
      <w:r w:rsidRPr="0080558E">
        <w:rPr>
          <w:rFonts w:hint="cs"/>
          <w:b/>
          <w:bCs/>
          <w:color w:val="FF0000"/>
          <w:sz w:val="28"/>
          <w:szCs w:val="28"/>
          <w:u w:val="single"/>
          <w:rtl/>
        </w:rPr>
        <w:t>סולם מיקרו טונלי</w:t>
      </w:r>
      <w:r w:rsidRPr="00E14316">
        <w:rPr>
          <w:rtl/>
        </w:rPr>
        <w:t xml:space="preserve"> </w:t>
      </w:r>
    </w:p>
    <w:p w:rsidR="007B6875" w:rsidRDefault="007B6875" w:rsidP="007B6875">
      <w:pPr>
        <w:tabs>
          <w:tab w:val="left" w:pos="1981"/>
        </w:tabs>
        <w:ind w:left="180"/>
        <w:jc w:val="both"/>
        <w:rPr>
          <w:rFonts w:hint="cs"/>
          <w:rtl/>
        </w:rPr>
      </w:pPr>
      <w:r>
        <w:rPr>
          <w:rFonts w:hint="cs"/>
          <w:rtl/>
        </w:rPr>
        <w:t xml:space="preserve">בניגוד למוזיקה מערבית אירופאית , תרבויות שונות בעולם פיתחו סוגים שונים של מרווחים, אשר ברב מהמקרים לא מתחלקים לחצאי הטונים המאפיינים את הסולם של המוזיקה המערבית. מרווח זה מכונה מרווח </w:t>
      </w:r>
      <w:r w:rsidRPr="005B3418">
        <w:rPr>
          <w:rFonts w:hint="cs"/>
          <w:color w:val="0000FF"/>
          <w:rtl/>
        </w:rPr>
        <w:t>מיקרו טונלי</w:t>
      </w:r>
      <w:r>
        <w:rPr>
          <w:rFonts w:hint="cs"/>
          <w:rtl/>
        </w:rPr>
        <w:t>.</w:t>
      </w:r>
    </w:p>
    <w:p w:rsidR="007B6875" w:rsidRDefault="007B6875" w:rsidP="007B6875">
      <w:pPr>
        <w:tabs>
          <w:tab w:val="left" w:pos="1981"/>
        </w:tabs>
        <w:ind w:left="180"/>
        <w:jc w:val="both"/>
        <w:rPr>
          <w:rFonts w:hint="cs"/>
          <w:rtl/>
        </w:rPr>
      </w:pPr>
      <w:r>
        <w:rPr>
          <w:rFonts w:hint="cs"/>
          <w:rtl/>
        </w:rPr>
        <w:t xml:space="preserve">במוזיקה ההודית, למשל, קיים מרווח הידוע כ- </w:t>
      </w:r>
      <w:hyperlink r:id="rId4" w:tooltip="רגא" w:history="1">
        <w:r>
          <w:rPr>
            <w:rStyle w:val="Hyperlink"/>
            <w:rFonts w:hint="cs"/>
            <w:color w:val="CC2200"/>
            <w:rtl/>
          </w:rPr>
          <w:t>רגא</w:t>
        </w:r>
      </w:hyperlink>
      <w:r>
        <w:rPr>
          <w:rFonts w:hint="cs"/>
          <w:rtl/>
        </w:rPr>
        <w:t xml:space="preserve"> והוא שקול לקצת יותר מרבע טון.</w:t>
      </w:r>
    </w:p>
    <w:p w:rsidR="007B6875" w:rsidRDefault="007B6875" w:rsidP="007B6875">
      <w:pPr>
        <w:pStyle w:val="Heading2"/>
        <w:ind w:left="180"/>
        <w:jc w:val="both"/>
        <w:rPr>
          <w:rFonts w:hint="cs"/>
          <w:i w:val="0"/>
          <w:iCs w:val="0"/>
          <w:rtl/>
        </w:rPr>
      </w:pPr>
      <w:r w:rsidRPr="00D33A3D">
        <w:rPr>
          <w:rFonts w:hint="cs"/>
          <w:i w:val="0"/>
          <w:iCs w:val="0"/>
          <w:rtl/>
        </w:rPr>
        <w:t xml:space="preserve">במוזיקה הערבית, למשל, קיים מרווח המכונה </w:t>
      </w:r>
      <w:hyperlink r:id="rId5" w:tooltip="רגא" w:history="1">
        <w:r w:rsidRPr="00D33A3D">
          <w:rPr>
            <w:rStyle w:val="Hyperlink"/>
            <w:rFonts w:hint="cs"/>
            <w:i w:val="0"/>
            <w:iCs w:val="0"/>
            <w:color w:val="CC2200"/>
            <w:rtl/>
          </w:rPr>
          <w:t>מקאם</w:t>
        </w:r>
      </w:hyperlink>
      <w:r w:rsidRPr="00D33A3D">
        <w:rPr>
          <w:rFonts w:hint="cs"/>
          <w:i w:val="0"/>
          <w:iCs w:val="0"/>
          <w:rtl/>
        </w:rPr>
        <w:t xml:space="preserve">  והוא שקול לר</w:t>
      </w:r>
      <w:r>
        <w:rPr>
          <w:rFonts w:hint="cs"/>
          <w:i w:val="0"/>
          <w:iCs w:val="0"/>
          <w:rtl/>
        </w:rPr>
        <w:t>בע</w:t>
      </w:r>
      <w:r w:rsidRPr="00D33A3D">
        <w:rPr>
          <w:rFonts w:hint="cs"/>
          <w:i w:val="0"/>
          <w:iCs w:val="0"/>
          <w:rtl/>
        </w:rPr>
        <w:t xml:space="preserve"> טון.</w:t>
      </w:r>
    </w:p>
    <w:p w:rsidR="007B6875" w:rsidRDefault="007B6875" w:rsidP="007B6875">
      <w:pPr>
        <w:ind w:left="180"/>
        <w:jc w:val="both"/>
        <w:rPr>
          <w:rFonts w:hint="cs"/>
          <w:rtl/>
        </w:rPr>
      </w:pPr>
      <w:r>
        <w:rPr>
          <w:rFonts w:hint="cs"/>
          <w:rtl/>
        </w:rPr>
        <w:t>סימני היתק של רבעי טונים על פי מילדרד קופר. (משמאל לימין):</w:t>
      </w:r>
    </w:p>
    <w:p w:rsidR="007B6875" w:rsidRDefault="007B6875" w:rsidP="007B6875">
      <w:pPr>
        <w:ind w:left="180"/>
        <w:rPr>
          <w:rFonts w:hint="cs"/>
          <w:rtl/>
        </w:rPr>
      </w:pPr>
    </w:p>
    <w:p w:rsidR="007B6875" w:rsidRDefault="007B6875" w:rsidP="007B6875">
      <w:pPr>
        <w:ind w:left="360" w:hanging="180"/>
        <w:rPr>
          <w:rFonts w:hint="cs"/>
          <w:rtl/>
        </w:rPr>
      </w:pPr>
      <w:r w:rsidRPr="001F3D0B">
        <w:rPr>
          <w:rFonts w:hint="cs"/>
          <w:color w:val="0000FF"/>
          <w:sz w:val="20"/>
          <w:szCs w:val="20"/>
          <w:rtl/>
        </w:rPr>
        <w:t xml:space="preserve">    </w:t>
      </w:r>
      <w:r>
        <w:rPr>
          <w:rFonts w:hint="cs"/>
          <w:color w:val="0000FF"/>
          <w:sz w:val="20"/>
          <w:szCs w:val="20"/>
          <w:rtl/>
        </w:rPr>
        <w:t xml:space="preserve"> במול וחצי</w:t>
      </w:r>
      <w:r w:rsidRPr="001F3D0B">
        <w:rPr>
          <w:rFonts w:hint="cs"/>
          <w:color w:val="0000FF"/>
          <w:sz w:val="20"/>
          <w:szCs w:val="20"/>
          <w:rtl/>
        </w:rPr>
        <w:t> ;</w:t>
      </w:r>
      <w:r>
        <w:rPr>
          <w:rFonts w:hint="cs"/>
          <w:color w:val="0000FF"/>
          <w:sz w:val="20"/>
          <w:szCs w:val="20"/>
          <w:rtl/>
        </w:rPr>
        <w:t xml:space="preserve"> </w:t>
      </w:r>
      <w:r w:rsidRPr="001F3D0B">
        <w:rPr>
          <w:rFonts w:hint="cs"/>
          <w:color w:val="0000FF"/>
          <w:sz w:val="20"/>
          <w:szCs w:val="20"/>
          <w:rtl/>
        </w:rPr>
        <w:t xml:space="preserve">במול ; </w:t>
      </w:r>
      <w:r>
        <w:rPr>
          <w:rFonts w:hint="cs"/>
          <w:color w:val="0000FF"/>
          <w:sz w:val="20"/>
          <w:szCs w:val="20"/>
          <w:rtl/>
        </w:rPr>
        <w:t>חצי במול</w:t>
      </w:r>
      <w:r w:rsidRPr="001F3D0B">
        <w:rPr>
          <w:rFonts w:hint="cs"/>
          <w:color w:val="0000FF"/>
          <w:sz w:val="20"/>
          <w:szCs w:val="20"/>
          <w:rtl/>
        </w:rPr>
        <w:t xml:space="preserve"> </w:t>
      </w:r>
      <w:r>
        <w:rPr>
          <w:rFonts w:hint="cs"/>
          <w:color w:val="0000FF"/>
          <w:sz w:val="20"/>
          <w:szCs w:val="20"/>
          <w:rtl/>
        </w:rPr>
        <w:t xml:space="preserve">    </w:t>
      </w:r>
      <w:r w:rsidRPr="001F3D0B">
        <w:rPr>
          <w:rFonts w:hint="cs"/>
          <w:color w:val="0000FF"/>
          <w:sz w:val="20"/>
          <w:szCs w:val="20"/>
          <w:rtl/>
        </w:rPr>
        <w:t xml:space="preserve"> דיאז וחצי ; דיאז ;</w:t>
      </w:r>
      <w:r>
        <w:rPr>
          <w:rFonts w:hint="cs"/>
          <w:color w:val="0000FF"/>
          <w:sz w:val="20"/>
          <w:szCs w:val="20"/>
          <w:rtl/>
        </w:rPr>
        <w:t xml:space="preserve"> </w:t>
      </w:r>
      <w:r w:rsidRPr="001F3D0B">
        <w:rPr>
          <w:rFonts w:hint="cs"/>
          <w:color w:val="0000FF"/>
          <w:sz w:val="20"/>
          <w:szCs w:val="20"/>
          <w:rtl/>
        </w:rPr>
        <w:t xml:space="preserve"> חצי דיאז</w:t>
      </w:r>
      <w:r w:rsidRPr="001F3D0B">
        <w:rPr>
          <w:rFonts w:hint="cs"/>
          <w:sz w:val="20"/>
          <w:szCs w:val="20"/>
          <w:rtl/>
        </w:rPr>
        <w:br/>
      </w:r>
      <w:r>
        <w:rPr>
          <w:noProof/>
          <w:color w:val="0000FF"/>
          <w:rtl/>
          <w:lang w:eastAsia="en-US"/>
        </w:rPr>
        <w:drawing>
          <wp:inline distT="0" distB="0" distL="0" distR="0">
            <wp:extent cx="2752725" cy="771525"/>
            <wp:effectExtent l="19050" t="0" r="9525" b="0"/>
            <wp:docPr id="1" name="Picture 1" descr="סימני היתק של רבעי טונים על פי מילדרד קופר. (משמאל לימין):חצי דיאז ;  דיאז ;  דיאז וחציחצי במול ; במול ; במול וחצי">
              <a:hlinkClick xmlns:a="http://schemas.openxmlformats.org/drawingml/2006/main" r:id="rId6" tooltip="סימני היתק של רבעי טונים על פי מילדרד קופר. (משמאל לימין):חצי דיאז ;  דיאז ;  דיאז וחציחצי במול ; במול ; במול וחצי"/>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ימני היתק של רבעי טונים על פי מילדרד קופר. (משמאל לימין):חצי דיאז ;  דיאז ;  דיאז וחציחצי במול ; במול ; במול וחצי"/>
                    <pic:cNvPicPr>
                      <a:picLocks noChangeAspect="1" noChangeArrowheads="1"/>
                    </pic:cNvPicPr>
                  </pic:nvPicPr>
                  <pic:blipFill>
                    <a:blip r:embed="rId7" cstate="print"/>
                    <a:srcRect/>
                    <a:stretch>
                      <a:fillRect/>
                    </a:stretch>
                  </pic:blipFill>
                  <pic:spPr bwMode="auto">
                    <a:xfrm>
                      <a:off x="0" y="0"/>
                      <a:ext cx="2752725" cy="771525"/>
                    </a:xfrm>
                    <a:prstGeom prst="rect">
                      <a:avLst/>
                    </a:prstGeom>
                    <a:noFill/>
                    <a:ln w="9525">
                      <a:noFill/>
                      <a:miter lim="800000"/>
                      <a:headEnd/>
                      <a:tailEnd/>
                    </a:ln>
                  </pic:spPr>
                </pic:pic>
              </a:graphicData>
            </a:graphic>
          </wp:inline>
        </w:drawing>
      </w:r>
    </w:p>
    <w:p w:rsidR="007B6875" w:rsidRDefault="007B6875" w:rsidP="007B6875">
      <w:pPr>
        <w:ind w:left="360" w:hanging="180"/>
        <w:rPr>
          <w:rFonts w:hint="cs"/>
          <w:color w:val="0000FF"/>
          <w:sz w:val="20"/>
          <w:szCs w:val="20"/>
          <w:rtl/>
        </w:rPr>
      </w:pPr>
      <w:r w:rsidRPr="001F3D0B">
        <w:rPr>
          <w:rFonts w:hint="cs"/>
          <w:color w:val="0000FF"/>
          <w:sz w:val="20"/>
          <w:szCs w:val="20"/>
          <w:rtl/>
        </w:rPr>
        <w:t xml:space="preserve">    </w:t>
      </w:r>
      <w:r>
        <w:rPr>
          <w:rFonts w:hint="cs"/>
          <w:color w:val="0000FF"/>
          <w:sz w:val="20"/>
          <w:szCs w:val="20"/>
          <w:rtl/>
        </w:rPr>
        <w:t xml:space="preserve">  3/4 טון</w:t>
      </w:r>
      <w:r w:rsidRPr="001F3D0B">
        <w:rPr>
          <w:rFonts w:hint="cs"/>
          <w:color w:val="0000FF"/>
          <w:sz w:val="20"/>
          <w:szCs w:val="20"/>
          <w:rtl/>
        </w:rPr>
        <w:t> ;</w:t>
      </w:r>
      <w:r>
        <w:rPr>
          <w:rFonts w:hint="cs"/>
          <w:color w:val="0000FF"/>
          <w:sz w:val="20"/>
          <w:szCs w:val="20"/>
          <w:rtl/>
        </w:rPr>
        <w:t xml:space="preserve"> חצי טון</w:t>
      </w:r>
      <w:r w:rsidRPr="001F3D0B">
        <w:rPr>
          <w:rFonts w:hint="cs"/>
          <w:color w:val="0000FF"/>
          <w:sz w:val="20"/>
          <w:szCs w:val="20"/>
          <w:rtl/>
        </w:rPr>
        <w:t xml:space="preserve"> ; </w:t>
      </w:r>
      <w:r>
        <w:rPr>
          <w:rFonts w:hint="cs"/>
          <w:color w:val="0000FF"/>
          <w:sz w:val="20"/>
          <w:szCs w:val="20"/>
          <w:rtl/>
        </w:rPr>
        <w:t>רבע טון</w:t>
      </w:r>
      <w:r w:rsidRPr="001F3D0B">
        <w:rPr>
          <w:rFonts w:hint="cs"/>
          <w:color w:val="0000FF"/>
          <w:sz w:val="20"/>
          <w:szCs w:val="20"/>
          <w:rtl/>
        </w:rPr>
        <w:t xml:space="preserve"> </w:t>
      </w:r>
      <w:r>
        <w:rPr>
          <w:rFonts w:hint="cs"/>
          <w:color w:val="0000FF"/>
          <w:sz w:val="20"/>
          <w:szCs w:val="20"/>
          <w:rtl/>
        </w:rPr>
        <w:t xml:space="preserve">    </w:t>
      </w:r>
      <w:r w:rsidRPr="001F3D0B">
        <w:rPr>
          <w:rFonts w:hint="cs"/>
          <w:color w:val="0000FF"/>
          <w:sz w:val="20"/>
          <w:szCs w:val="20"/>
          <w:rtl/>
        </w:rPr>
        <w:t xml:space="preserve"> </w:t>
      </w:r>
      <w:r>
        <w:rPr>
          <w:rFonts w:hint="cs"/>
          <w:color w:val="0000FF"/>
          <w:sz w:val="20"/>
          <w:szCs w:val="20"/>
          <w:rtl/>
        </w:rPr>
        <w:t>3/4 טון</w:t>
      </w:r>
      <w:r w:rsidRPr="001F3D0B">
        <w:rPr>
          <w:rFonts w:hint="cs"/>
          <w:color w:val="0000FF"/>
          <w:sz w:val="20"/>
          <w:szCs w:val="20"/>
          <w:rtl/>
        </w:rPr>
        <w:t xml:space="preserve"> ; </w:t>
      </w:r>
      <w:r>
        <w:rPr>
          <w:rFonts w:hint="cs"/>
          <w:color w:val="0000FF"/>
          <w:sz w:val="20"/>
          <w:szCs w:val="20"/>
          <w:rtl/>
        </w:rPr>
        <w:t>חצי טון</w:t>
      </w:r>
      <w:r w:rsidRPr="001F3D0B">
        <w:rPr>
          <w:rFonts w:hint="cs"/>
          <w:color w:val="0000FF"/>
          <w:sz w:val="20"/>
          <w:szCs w:val="20"/>
          <w:rtl/>
        </w:rPr>
        <w:t> ;</w:t>
      </w:r>
      <w:r>
        <w:rPr>
          <w:rFonts w:hint="cs"/>
          <w:color w:val="0000FF"/>
          <w:sz w:val="20"/>
          <w:szCs w:val="20"/>
          <w:rtl/>
        </w:rPr>
        <w:t xml:space="preserve"> </w:t>
      </w:r>
      <w:r w:rsidRPr="001F3D0B">
        <w:rPr>
          <w:rFonts w:hint="cs"/>
          <w:color w:val="0000FF"/>
          <w:sz w:val="20"/>
          <w:szCs w:val="20"/>
          <w:rtl/>
        </w:rPr>
        <w:t xml:space="preserve"> </w:t>
      </w:r>
      <w:r>
        <w:rPr>
          <w:rFonts w:hint="cs"/>
          <w:color w:val="0000FF"/>
          <w:sz w:val="20"/>
          <w:szCs w:val="20"/>
          <w:rtl/>
        </w:rPr>
        <w:t>רבע טון</w:t>
      </w:r>
    </w:p>
    <w:p w:rsidR="007B6875" w:rsidRDefault="007B6875" w:rsidP="007B6875">
      <w:pPr>
        <w:ind w:left="360" w:hanging="180"/>
        <w:rPr>
          <w:rFonts w:hint="cs"/>
          <w:color w:val="0000FF"/>
          <w:sz w:val="20"/>
          <w:szCs w:val="20"/>
          <w:rtl/>
        </w:rPr>
      </w:pPr>
    </w:p>
    <w:p w:rsidR="007B6875" w:rsidRDefault="007B6875" w:rsidP="007B6875">
      <w:pPr>
        <w:ind w:left="360" w:hanging="180"/>
        <w:jc w:val="both"/>
        <w:rPr>
          <w:rFonts w:hint="cs"/>
          <w:rtl/>
        </w:rPr>
      </w:pPr>
      <w:r>
        <w:rPr>
          <w:rFonts w:hint="cs"/>
          <w:color w:val="0000FF"/>
          <w:sz w:val="20"/>
          <w:szCs w:val="20"/>
          <w:rtl/>
        </w:rPr>
        <w:t xml:space="preserve">   </w:t>
      </w:r>
      <w:r>
        <w:rPr>
          <w:rFonts w:hint="cs"/>
          <w:rtl/>
        </w:rPr>
        <w:t>סימנים אלו מאפשרים לכתוב מוזיקה הכוללת מרווחים של רבעי טון. הסימנים חצי דיאז וחצי במול מורים על הגבהה או הנמכה של צליל ברבע טון והסימנים דיאז וחצי ובמול וחצי מורים על הגבהה או הנמכה של צליל בשלושת רבעי הטון. ישנן שיטות המאפ</w:t>
      </w:r>
      <w:smartTag w:uri="urn:schemas-microsoft-com:office:smarttags" w:element="PersonName">
        <w:r>
          <w:rPr>
            <w:rFonts w:hint="cs"/>
            <w:rtl/>
          </w:rPr>
          <w:t>שרות</w:t>
        </w:r>
      </w:smartTag>
      <w:r>
        <w:rPr>
          <w:rFonts w:hint="cs"/>
          <w:rtl/>
        </w:rPr>
        <w:t xml:space="preserve"> תיווי של מרווחים הכוללים אף שליש או שני שליש טון.</w:t>
      </w:r>
    </w:p>
    <w:p w:rsidR="00EC2B7A" w:rsidRDefault="00EC2B7A" w:rsidP="007B6875">
      <w:pPr>
        <w:ind w:left="-99"/>
      </w:pPr>
    </w:p>
    <w:sectPr w:rsidR="00EC2B7A" w:rsidSect="007B6875">
      <w:pgSz w:w="11906" w:h="16838"/>
      <w:pgMar w:top="1440"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6875"/>
    <w:rsid w:val="007B6875"/>
    <w:rsid w:val="00BF62DE"/>
    <w:rsid w:val="00EC2B7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875"/>
    <w:pPr>
      <w:bidi/>
      <w:spacing w:after="0" w:line="240" w:lineRule="auto"/>
    </w:pPr>
    <w:rPr>
      <w:rFonts w:ascii="Times New Roman" w:eastAsia="SimSun" w:hAnsi="Times New Roman" w:cs="Times New Roman"/>
      <w:sz w:val="24"/>
      <w:szCs w:val="24"/>
      <w:lang w:eastAsia="zh-CN"/>
    </w:rPr>
  </w:style>
  <w:style w:type="paragraph" w:styleId="Heading2">
    <w:name w:val="heading 2"/>
    <w:basedOn w:val="Normal"/>
    <w:next w:val="Normal"/>
    <w:link w:val="Heading2Char"/>
    <w:qFormat/>
    <w:rsid w:val="007B6875"/>
    <w:pPr>
      <w:keepNext/>
      <w:outlineLvl w:val="1"/>
    </w:pPr>
    <w:rPr>
      <w:rFonts w:eastAsia="Times New Roman"/>
      <w:i/>
      <w:iCs/>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B6875"/>
    <w:rPr>
      <w:rFonts w:ascii="Times New Roman" w:eastAsia="Times New Roman" w:hAnsi="Times New Roman" w:cs="Times New Roman"/>
      <w:i/>
      <w:iCs/>
      <w:sz w:val="24"/>
      <w:szCs w:val="24"/>
      <w:lang w:eastAsia="he-IL"/>
    </w:rPr>
  </w:style>
  <w:style w:type="character" w:styleId="Hyperlink">
    <w:name w:val="Hyperlink"/>
    <w:basedOn w:val="DefaultParagraphFont"/>
    <w:uiPriority w:val="99"/>
    <w:rsid w:val="007B6875"/>
    <w:rPr>
      <w:color w:val="0000FF"/>
      <w:u w:val="single"/>
    </w:rPr>
  </w:style>
  <w:style w:type="paragraph" w:styleId="BalloonText">
    <w:name w:val="Balloon Text"/>
    <w:basedOn w:val="Normal"/>
    <w:link w:val="BalloonTextChar"/>
    <w:uiPriority w:val="99"/>
    <w:semiHidden/>
    <w:unhideWhenUsed/>
    <w:rsid w:val="007B6875"/>
    <w:rPr>
      <w:rFonts w:ascii="Tahoma" w:hAnsi="Tahoma" w:cs="Tahoma"/>
      <w:sz w:val="16"/>
      <w:szCs w:val="16"/>
    </w:rPr>
  </w:style>
  <w:style w:type="character" w:customStyle="1" w:styleId="BalloonTextChar">
    <w:name w:val="Balloon Text Char"/>
    <w:basedOn w:val="DefaultParagraphFont"/>
    <w:link w:val="BalloonText"/>
    <w:uiPriority w:val="99"/>
    <w:semiHidden/>
    <w:rsid w:val="007B6875"/>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e.wikipedia.org/wiki/%D7%AA%D7%9E%D7%95%D7%A0%D7%94:Partial_accidentals.gif" TargetMode="External"/><Relationship Id="rId5" Type="http://schemas.openxmlformats.org/officeDocument/2006/relationships/hyperlink" Target="http://he.wikipedia.org/w/index.php?title=%D7%A8%D7%92%D7%90&amp;action=edit" TargetMode="External"/><Relationship Id="rId4" Type="http://schemas.openxmlformats.org/officeDocument/2006/relationships/hyperlink" Target="http://he.wikipedia.org/w/index.php?title=%D7%A8%D7%92%D7%90&amp;action=edi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866</Characters>
  <Application>Microsoft Office Word</Application>
  <DocSecurity>0</DocSecurity>
  <Lines>7</Lines>
  <Paragraphs>2</Paragraphs>
  <ScaleCrop>false</ScaleCrop>
  <Company>Home</Company>
  <LinksUpToDate>false</LinksUpToDate>
  <CharactersWithSpaces>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2012-03-02T09:01:00Z</dcterms:created>
  <dcterms:modified xsi:type="dcterms:W3CDTF">2012-03-02T09:02:00Z</dcterms:modified>
</cp:coreProperties>
</file>