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A6" w:rsidRPr="00185BA6" w:rsidRDefault="00185BA6" w:rsidP="00185BA6">
      <w:pPr>
        <w:pStyle w:val="a3"/>
        <w:spacing w:after="240" w:line="360" w:lineRule="auto"/>
        <w:jc w:val="center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185BA6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זכיות עובדים- פסק דין   בנושא   </w:t>
      </w:r>
      <w:r w:rsidRPr="00185BA6">
        <w:rPr>
          <w:rFonts w:ascii="David" w:hAnsi="David" w:cs="David" w:hint="cs"/>
          <w:b/>
          <w:bCs/>
          <w:sz w:val="24"/>
          <w:szCs w:val="24"/>
          <w:u w:val="single"/>
          <w:rtl/>
        </w:rPr>
        <w:t>פגיעה בתנאי העסקה ופיטורים שלא כדין</w:t>
      </w:r>
    </w:p>
    <w:p w:rsidR="00185BA6" w:rsidRPr="00185BA6" w:rsidRDefault="00185BA6" w:rsidP="00185BA6">
      <w:pPr>
        <w:pStyle w:val="a3"/>
        <w:spacing w:after="240" w:line="360" w:lineRule="auto"/>
        <w:jc w:val="center"/>
        <w:rPr>
          <w:rFonts w:ascii="David" w:hAnsi="David" w:cs="David"/>
          <w:b/>
          <w:bCs/>
          <w:sz w:val="20"/>
          <w:szCs w:val="20"/>
          <w:u w:val="single"/>
        </w:rPr>
      </w:pPr>
      <w:proofErr w:type="spellStart"/>
      <w:r w:rsidRPr="00185BA6">
        <w:rPr>
          <w:rFonts w:ascii="David" w:hAnsi="David" w:cs="David" w:hint="cs"/>
          <w:b/>
          <w:bCs/>
          <w:sz w:val="20"/>
          <w:szCs w:val="20"/>
          <w:u w:val="single"/>
          <w:rtl/>
        </w:rPr>
        <w:t>סע"ש</w:t>
      </w:r>
      <w:proofErr w:type="spellEnd"/>
      <w:r w:rsidRPr="00185BA6">
        <w:rPr>
          <w:rFonts w:ascii="David" w:hAnsi="David" w:cs="David" w:hint="cs"/>
          <w:b/>
          <w:bCs/>
          <w:sz w:val="20"/>
          <w:szCs w:val="20"/>
          <w:u w:val="single"/>
          <w:rtl/>
        </w:rPr>
        <w:t xml:space="preserve"> 8786-11-13</w:t>
      </w:r>
    </w:p>
    <w:p w:rsidR="00185BA6" w:rsidRDefault="00185BA6" w:rsidP="00A307E0">
      <w:pPr>
        <w:pStyle w:val="a3"/>
        <w:spacing w:after="240" w:line="360" w:lineRule="auto"/>
        <w:jc w:val="both"/>
        <w:rPr>
          <w:rFonts w:ascii="David" w:hAnsi="David" w:cs="David" w:hint="cs"/>
          <w:sz w:val="24"/>
          <w:szCs w:val="24"/>
          <w:rtl/>
        </w:rPr>
      </w:pPr>
      <w:bookmarkStart w:id="0" w:name="_GoBack"/>
      <w:bookmarkEnd w:id="0"/>
    </w:p>
    <w:p w:rsidR="00927144" w:rsidRDefault="00A307E0" w:rsidP="00A307E0">
      <w:pPr>
        <w:pStyle w:val="a3"/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התובע הוא מרצה לכלכלה ושיווק שהחל לעבוד במכללת אשקלון בשנת 2005, בשנת 2010 נחתם עם התובע חוזה העסקה חדש לתקופה של 3 שנים.</w:t>
      </w:r>
    </w:p>
    <w:p w:rsidR="00A307E0" w:rsidRDefault="00A307E0" w:rsidP="00A307E0">
      <w:pPr>
        <w:pStyle w:val="a3"/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שנה לאחר מכן, צומצמה משרתו של המרצה ל92%, זאת בטענה כי את קורס השיווק מעדיפה המכללה שילמדו מרצים שהתמחו בתחום.</w:t>
      </w:r>
    </w:p>
    <w:p w:rsidR="00A307E0" w:rsidRDefault="00A307E0" w:rsidP="00A307E0">
      <w:pPr>
        <w:pStyle w:val="a3"/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שנה אחר כך, זומן התובע לשימוע בדבר צמצום משרתו של התובע ל-33%. התובע לא הסכים לעבוד בתנאים אלו והגיש תביעה לבית הדין.</w:t>
      </w:r>
    </w:p>
    <w:p w:rsidR="00A307E0" w:rsidRDefault="00A307E0" w:rsidP="00A307E0">
      <w:pPr>
        <w:pStyle w:val="a3"/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הנתבעת טענה כי לתובע הישגים אקדמאיים נמוכים.</w:t>
      </w:r>
    </w:p>
    <w:p w:rsidR="00A307E0" w:rsidRDefault="00A307E0" w:rsidP="00A307E0">
      <w:pPr>
        <w:pStyle w:val="a3"/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בית הדין קבע, כי למעט משוב אחד של סטודנט משנת 2007, בו נטען כי הקורס קל ומבלי להגיע לשיעורים מקבלים מאה, אין בידי הנתבעת  בדל אחד של ראיה לתמיכה בטענותיה.</w:t>
      </w:r>
    </w:p>
    <w:p w:rsidR="00A307E0" w:rsidRDefault="00A307E0" w:rsidP="00D76E74">
      <w:pPr>
        <w:pStyle w:val="a3"/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נוסף לכך, קבע בית הדין כי </w:t>
      </w:r>
      <w:r w:rsidR="00D96B8A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שימוע </w:t>
      </w:r>
      <w:r w:rsidR="00D96B8A">
        <w:rPr>
          <w:rFonts w:ascii="David" w:hAnsi="David" w:cs="David" w:hint="cs"/>
          <w:sz w:val="24"/>
          <w:szCs w:val="24"/>
          <w:rtl/>
        </w:rPr>
        <w:t>שנערך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96B8A"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 w:hint="cs"/>
          <w:sz w:val="24"/>
          <w:szCs w:val="24"/>
          <w:rtl/>
        </w:rPr>
        <w:t xml:space="preserve">תובע </w:t>
      </w:r>
      <w:r w:rsidR="00D96B8A">
        <w:rPr>
          <w:rFonts w:ascii="David" w:hAnsi="David" w:cs="David" w:hint="cs"/>
          <w:sz w:val="24"/>
          <w:szCs w:val="24"/>
          <w:rtl/>
        </w:rPr>
        <w:t>אינו כדין, זאת מאחר והנטען בזימון היה שונה מ</w:t>
      </w:r>
      <w:r w:rsidR="00D76E74">
        <w:rPr>
          <w:rFonts w:ascii="David" w:hAnsi="David" w:cs="David" w:hint="cs"/>
          <w:sz w:val="24"/>
          <w:szCs w:val="24"/>
          <w:rtl/>
        </w:rPr>
        <w:t xml:space="preserve">הטענות שהועלו כנגדו בשימוע עצמו, עוד הטיל השופט ספק בדבר טענת הנתבעת לגבי משוב הסטודנט, מאחר והטענה הועלתה לאחר 5 שנים, ולאחר שנחתם </w:t>
      </w:r>
      <w:proofErr w:type="spellStart"/>
      <w:r w:rsidR="00D76E74">
        <w:rPr>
          <w:rFonts w:ascii="David" w:hAnsi="David" w:cs="David" w:hint="cs"/>
          <w:sz w:val="24"/>
          <w:szCs w:val="24"/>
          <w:rtl/>
        </w:rPr>
        <w:t>עימו</w:t>
      </w:r>
      <w:proofErr w:type="spellEnd"/>
      <w:r w:rsidR="00D76E74">
        <w:rPr>
          <w:rFonts w:ascii="David" w:hAnsi="David" w:cs="David" w:hint="cs"/>
          <w:sz w:val="24"/>
          <w:szCs w:val="24"/>
          <w:rtl/>
        </w:rPr>
        <w:t xml:space="preserve"> הסכם חדש.</w:t>
      </w:r>
    </w:p>
    <w:p w:rsidR="00D76E74" w:rsidRDefault="0096153E" w:rsidP="00D76E74">
      <w:pPr>
        <w:pStyle w:val="a3"/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בית הדין קבע לתובע פיצוי בסך של 50,000 ₪ בגין הפרת חוזה וכן 121,000 ₪ </w:t>
      </w:r>
      <w:r w:rsidR="00F155A0">
        <w:rPr>
          <w:rFonts w:ascii="David" w:hAnsi="David" w:cs="David" w:hint="cs"/>
          <w:sz w:val="24"/>
          <w:szCs w:val="24"/>
          <w:rtl/>
        </w:rPr>
        <w:t>בגין עריכת שימוע שלא כדין</w:t>
      </w:r>
      <w:r w:rsidR="00185BA6">
        <w:rPr>
          <w:rFonts w:ascii="David" w:hAnsi="David" w:cs="David" w:hint="cs"/>
          <w:sz w:val="24"/>
          <w:szCs w:val="24"/>
          <w:rtl/>
        </w:rPr>
        <w:t xml:space="preserve"> ופגיעה בזכיות העובדים להם זכאי התובע </w:t>
      </w:r>
      <w:r w:rsidR="00F155A0">
        <w:rPr>
          <w:rFonts w:ascii="David" w:hAnsi="David" w:cs="David" w:hint="cs"/>
          <w:sz w:val="24"/>
          <w:szCs w:val="24"/>
          <w:rtl/>
        </w:rPr>
        <w:t>, וכן, בשכ"ט של 15,000 ₪.</w:t>
      </w:r>
    </w:p>
    <w:p w:rsidR="00471C1E" w:rsidRDefault="00471C1E" w:rsidP="00D76E74">
      <w:pPr>
        <w:pStyle w:val="a3"/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</w:p>
    <w:sectPr w:rsidR="00471C1E" w:rsidSect="00434D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AF"/>
    <w:rsid w:val="00185BA6"/>
    <w:rsid w:val="00434DD5"/>
    <w:rsid w:val="00471C1E"/>
    <w:rsid w:val="005B14EE"/>
    <w:rsid w:val="0096153E"/>
    <w:rsid w:val="00A307E0"/>
    <w:rsid w:val="00AE20AF"/>
    <w:rsid w:val="00D76E74"/>
    <w:rsid w:val="00D96B8A"/>
    <w:rsid w:val="00F1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7E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7E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7A4E-7C86-4A23-83CA-BE2336E7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שם טוב</dc:creator>
  <cp:keywords/>
  <dc:description/>
  <cp:lastModifiedBy>USER</cp:lastModifiedBy>
  <cp:revision>7</cp:revision>
  <dcterms:created xsi:type="dcterms:W3CDTF">2016-08-14T10:50:00Z</dcterms:created>
  <dcterms:modified xsi:type="dcterms:W3CDTF">2016-10-05T08:16:00Z</dcterms:modified>
</cp:coreProperties>
</file>