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53D" w:rsidRDefault="0080353D" w:rsidP="0080353D">
      <w:pPr>
        <w:pStyle w:val="a3"/>
        <w:spacing w:after="240" w:line="360" w:lineRule="auto"/>
        <w:jc w:val="center"/>
        <w:rPr>
          <w:rFonts w:ascii="David" w:hAnsi="David" w:cs="David"/>
          <w:b/>
          <w:bCs/>
          <w:sz w:val="24"/>
          <w:szCs w:val="24"/>
          <w:u w:val="single"/>
        </w:rPr>
      </w:pPr>
      <w:r>
        <w:rPr>
          <w:rFonts w:ascii="David" w:hAnsi="David" w:cs="David" w:hint="cs"/>
          <w:b/>
          <w:bCs/>
          <w:sz w:val="24"/>
          <w:szCs w:val="24"/>
          <w:u w:val="single"/>
          <w:rtl/>
        </w:rPr>
        <w:t xml:space="preserve">זכיות </w:t>
      </w:r>
      <w:r>
        <w:rPr>
          <w:rFonts w:ascii="David" w:hAnsi="David" w:cs="David" w:hint="cs"/>
          <w:b/>
          <w:bCs/>
          <w:sz w:val="24"/>
          <w:szCs w:val="24"/>
          <w:u w:val="single"/>
          <w:rtl/>
        </w:rPr>
        <w:t xml:space="preserve">עובדים- פסק דין בנושא זכיות של עובדת ברשת </w:t>
      </w:r>
      <w:proofErr w:type="spellStart"/>
      <w:r>
        <w:rPr>
          <w:rFonts w:ascii="David" w:hAnsi="David" w:cs="David" w:hint="cs"/>
          <w:b/>
          <w:bCs/>
          <w:sz w:val="24"/>
          <w:szCs w:val="24"/>
          <w:u w:val="single"/>
          <w:rtl/>
        </w:rPr>
        <w:t>הוניגמן</w:t>
      </w:r>
      <w:proofErr w:type="spellEnd"/>
      <w:r>
        <w:rPr>
          <w:rFonts w:ascii="David" w:hAnsi="David" w:cs="David" w:hint="cs"/>
          <w:b/>
          <w:bCs/>
          <w:sz w:val="24"/>
          <w:szCs w:val="24"/>
          <w:u w:val="single"/>
          <w:rtl/>
        </w:rPr>
        <w:t xml:space="preserve"> </w:t>
      </w:r>
      <w:r>
        <w:rPr>
          <w:rFonts w:ascii="David" w:hAnsi="David" w:cs="David" w:hint="cs"/>
          <w:b/>
          <w:bCs/>
          <w:sz w:val="24"/>
          <w:szCs w:val="24"/>
          <w:u w:val="single"/>
          <w:rtl/>
        </w:rPr>
        <w:t xml:space="preserve"> </w:t>
      </w:r>
    </w:p>
    <w:p w:rsidR="0080353D" w:rsidRPr="0080353D" w:rsidRDefault="0080353D" w:rsidP="0080353D">
      <w:pPr>
        <w:pStyle w:val="a3"/>
        <w:spacing w:line="360" w:lineRule="auto"/>
        <w:jc w:val="center"/>
        <w:rPr>
          <w:rFonts w:ascii="David" w:hAnsi="David" w:cs="David"/>
          <w:b/>
          <w:bCs/>
          <w:sz w:val="20"/>
          <w:szCs w:val="20"/>
          <w:u w:val="single"/>
        </w:rPr>
      </w:pPr>
      <w:proofErr w:type="spellStart"/>
      <w:r w:rsidRPr="0080353D">
        <w:rPr>
          <w:rFonts w:ascii="David" w:hAnsi="David" w:cs="David" w:hint="cs"/>
          <w:b/>
          <w:bCs/>
          <w:sz w:val="20"/>
          <w:szCs w:val="20"/>
          <w:u w:val="single"/>
          <w:rtl/>
        </w:rPr>
        <w:t>סע"ש</w:t>
      </w:r>
      <w:proofErr w:type="spellEnd"/>
      <w:r w:rsidRPr="0080353D">
        <w:rPr>
          <w:rFonts w:ascii="David" w:hAnsi="David" w:cs="David" w:hint="cs"/>
          <w:b/>
          <w:bCs/>
          <w:sz w:val="20"/>
          <w:szCs w:val="20"/>
          <w:u w:val="single"/>
          <w:rtl/>
        </w:rPr>
        <w:t xml:space="preserve"> 29361-08-13</w:t>
      </w:r>
    </w:p>
    <w:p w:rsidR="0080353D" w:rsidRPr="0080353D" w:rsidRDefault="0080353D" w:rsidP="00287EE1">
      <w:pPr>
        <w:pStyle w:val="a3"/>
        <w:spacing w:after="240" w:line="360" w:lineRule="auto"/>
        <w:jc w:val="both"/>
        <w:rPr>
          <w:rFonts w:ascii="David" w:hAnsi="David" w:cs="David" w:hint="cs"/>
          <w:sz w:val="24"/>
          <w:szCs w:val="24"/>
          <w:rtl/>
        </w:rPr>
      </w:pPr>
    </w:p>
    <w:p w:rsidR="00927144" w:rsidRDefault="00287EE1" w:rsidP="00287EE1">
      <w:pPr>
        <w:pStyle w:val="a3"/>
        <w:spacing w:after="240" w:line="360" w:lineRule="auto"/>
        <w:jc w:val="both"/>
        <w:rPr>
          <w:rFonts w:ascii="David" w:hAnsi="David" w:cs="David"/>
          <w:sz w:val="24"/>
          <w:szCs w:val="24"/>
          <w:rtl/>
        </w:rPr>
      </w:pPr>
      <w:r>
        <w:rPr>
          <w:rFonts w:ascii="David" w:hAnsi="David" w:cs="David" w:hint="cs"/>
          <w:sz w:val="24"/>
          <w:szCs w:val="24"/>
          <w:rtl/>
        </w:rPr>
        <w:t xml:space="preserve">התובעת עבדה 11 שנים בחברת הביגוד </w:t>
      </w:r>
      <w:proofErr w:type="spellStart"/>
      <w:r>
        <w:rPr>
          <w:rFonts w:ascii="David" w:hAnsi="David" w:cs="David" w:hint="cs"/>
          <w:sz w:val="24"/>
          <w:szCs w:val="24"/>
          <w:rtl/>
        </w:rPr>
        <w:t>הוניגמן</w:t>
      </w:r>
      <w:proofErr w:type="spellEnd"/>
      <w:r>
        <w:rPr>
          <w:rFonts w:ascii="David" w:hAnsi="David" w:cs="David" w:hint="cs"/>
          <w:sz w:val="24"/>
          <w:szCs w:val="24"/>
          <w:rtl/>
        </w:rPr>
        <w:t xml:space="preserve">, תחילה, 6 שנים ראשונות </w:t>
      </w:r>
      <w:proofErr w:type="spellStart"/>
      <w:r>
        <w:rPr>
          <w:rFonts w:ascii="David" w:hAnsi="David" w:cs="David" w:hint="cs"/>
          <w:sz w:val="24"/>
          <w:szCs w:val="24"/>
          <w:rtl/>
        </w:rPr>
        <w:t>כמוכרנית</w:t>
      </w:r>
      <w:proofErr w:type="spellEnd"/>
      <w:r>
        <w:rPr>
          <w:rFonts w:ascii="David" w:hAnsi="David" w:cs="David" w:hint="cs"/>
          <w:sz w:val="24"/>
          <w:szCs w:val="24"/>
          <w:rtl/>
        </w:rPr>
        <w:t>, ולאחר שנות עבודה מוצלחות קודמה לתפקיד ניהולי.</w:t>
      </w:r>
    </w:p>
    <w:p w:rsidR="00287EE1" w:rsidRDefault="006C1522" w:rsidP="00287EE1">
      <w:pPr>
        <w:pStyle w:val="a3"/>
        <w:spacing w:after="240" w:line="360" w:lineRule="auto"/>
        <w:jc w:val="both"/>
        <w:rPr>
          <w:rFonts w:ascii="David" w:hAnsi="David" w:cs="David"/>
          <w:sz w:val="24"/>
          <w:szCs w:val="24"/>
          <w:rtl/>
        </w:rPr>
      </w:pPr>
      <w:r>
        <w:rPr>
          <w:rFonts w:ascii="David" w:hAnsi="David" w:cs="David" w:hint="cs"/>
          <w:sz w:val="24"/>
          <w:szCs w:val="24"/>
          <w:rtl/>
        </w:rPr>
        <w:t>זמן קצר לפני פיטוריה, זומנה התובעת לשיחה עם מנהלת הרשת בו נטען כי היא אינה שביעת רצון, וכי מנהלת האזור תלווה אותה בכדי לשפר את הישגי החנות.</w:t>
      </w:r>
    </w:p>
    <w:p w:rsidR="006C1522" w:rsidRDefault="005F2E87" w:rsidP="005F2E87">
      <w:pPr>
        <w:pStyle w:val="a3"/>
        <w:spacing w:after="240" w:line="360" w:lineRule="auto"/>
        <w:jc w:val="both"/>
        <w:rPr>
          <w:rFonts w:ascii="David" w:hAnsi="David" w:cs="David"/>
          <w:sz w:val="24"/>
          <w:szCs w:val="24"/>
          <w:rtl/>
        </w:rPr>
      </w:pPr>
      <w:r>
        <w:rPr>
          <w:rFonts w:ascii="David" w:hAnsi="David" w:cs="David" w:hint="cs"/>
          <w:sz w:val="24"/>
          <w:szCs w:val="24"/>
          <w:rtl/>
        </w:rPr>
        <w:t>אלא, שהתובעת טענה כי לא זכתה לשיתוף פעולה עם מנהלת האזור וכעבור חודש זומנה לשיחת שימוע ליום שלמחרת, התובעת סירבה להצעה שעלתה במהלך השימוע לניהול חנות אחרת ברשת שמשמעותה הוא ירידה בשכר ובמעמדה המקצועי.</w:t>
      </w:r>
    </w:p>
    <w:p w:rsidR="005F2E87" w:rsidRDefault="0033377F" w:rsidP="005F2E87">
      <w:pPr>
        <w:pStyle w:val="a3"/>
        <w:spacing w:after="240" w:line="360" w:lineRule="auto"/>
        <w:jc w:val="both"/>
        <w:rPr>
          <w:rFonts w:ascii="David" w:hAnsi="David" w:cs="David"/>
          <w:sz w:val="24"/>
          <w:szCs w:val="24"/>
          <w:rtl/>
        </w:rPr>
      </w:pPr>
      <w:r>
        <w:rPr>
          <w:rFonts w:ascii="David" w:hAnsi="David" w:cs="David" w:hint="cs"/>
          <w:sz w:val="24"/>
          <w:szCs w:val="24"/>
          <w:rtl/>
        </w:rPr>
        <w:t>יום למחרת פוטרה התובעת מעבודתה, כאשר שולמו לה פיצויי פיטורין לאחר חודש, וכי השכר הקובע לפיצויי חושב לא נכון.</w:t>
      </w:r>
    </w:p>
    <w:p w:rsidR="005F2E87" w:rsidRDefault="0033377F" w:rsidP="005F2E87">
      <w:pPr>
        <w:pStyle w:val="a3"/>
        <w:spacing w:after="240" w:line="360" w:lineRule="auto"/>
        <w:jc w:val="both"/>
        <w:rPr>
          <w:rFonts w:ascii="David" w:hAnsi="David" w:cs="David"/>
          <w:sz w:val="24"/>
          <w:szCs w:val="24"/>
          <w:rtl/>
        </w:rPr>
      </w:pPr>
      <w:r>
        <w:rPr>
          <w:rFonts w:ascii="David" w:hAnsi="David" w:cs="David" w:hint="cs"/>
          <w:sz w:val="24"/>
          <w:szCs w:val="24"/>
          <w:rtl/>
        </w:rPr>
        <w:t>ב</w:t>
      </w:r>
      <w:r w:rsidR="00940C17">
        <w:rPr>
          <w:rFonts w:ascii="David" w:hAnsi="David" w:cs="David" w:hint="cs"/>
          <w:sz w:val="24"/>
          <w:szCs w:val="24"/>
          <w:rtl/>
        </w:rPr>
        <w:t>י</w:t>
      </w:r>
      <w:r>
        <w:rPr>
          <w:rFonts w:ascii="David" w:hAnsi="David" w:cs="David" w:hint="cs"/>
          <w:sz w:val="24"/>
          <w:szCs w:val="24"/>
          <w:rtl/>
        </w:rPr>
        <w:t>ת הדין קיבל את גרסת התובעת, וקבע כי ה</w:t>
      </w:r>
      <w:r w:rsidR="00940C17">
        <w:rPr>
          <w:rFonts w:ascii="David" w:hAnsi="David" w:cs="David" w:hint="cs"/>
          <w:sz w:val="24"/>
          <w:szCs w:val="24"/>
          <w:rtl/>
        </w:rPr>
        <w:t>שימוע שנערך לה אינו תקין, וכי יש לזמן עובד לשימוע בתוך מס' ימים, זאת על מנת שהעובד יוכל להתכונן ולהתגונן מפני הטענות המועלות כנגדו.</w:t>
      </w:r>
      <w:r w:rsidR="0080353D">
        <w:rPr>
          <w:rFonts w:ascii="David" w:hAnsi="David" w:cs="David" w:hint="cs"/>
          <w:sz w:val="24"/>
          <w:szCs w:val="24"/>
          <w:rtl/>
        </w:rPr>
        <w:t xml:space="preserve"> ההליך של  שיחת השימוע הלקוי לפני הפיטורים  פוגע בזכיות העובדים של אותה מנהלת.</w:t>
      </w:r>
      <w:bookmarkStart w:id="0" w:name="_GoBack"/>
      <w:bookmarkEnd w:id="0"/>
    </w:p>
    <w:p w:rsidR="00940C17" w:rsidRDefault="00940C17" w:rsidP="005F2E87">
      <w:pPr>
        <w:pStyle w:val="a3"/>
        <w:spacing w:after="240" w:line="360" w:lineRule="auto"/>
        <w:jc w:val="both"/>
        <w:rPr>
          <w:rFonts w:ascii="David" w:hAnsi="David" w:cs="David"/>
          <w:sz w:val="24"/>
          <w:szCs w:val="24"/>
          <w:rtl/>
        </w:rPr>
      </w:pPr>
      <w:r>
        <w:rPr>
          <w:rFonts w:ascii="David" w:hAnsi="David" w:cs="David" w:hint="cs"/>
          <w:sz w:val="24"/>
          <w:szCs w:val="24"/>
          <w:rtl/>
        </w:rPr>
        <w:t xml:space="preserve">כן קיבלה השופטת את גרסת התובעת כי שכרה הקובע לפיצויים חושב שלא נכון, וכן נפסקו לה פיצויי הלנת פיצויי פיטורין, וזכויות </w:t>
      </w:r>
      <w:proofErr w:type="spellStart"/>
      <w:r>
        <w:rPr>
          <w:rFonts w:ascii="David" w:hAnsi="David" w:cs="David" w:hint="cs"/>
          <w:sz w:val="24"/>
          <w:szCs w:val="24"/>
          <w:rtl/>
        </w:rPr>
        <w:t>סוצאליות</w:t>
      </w:r>
      <w:proofErr w:type="spellEnd"/>
      <w:r>
        <w:rPr>
          <w:rFonts w:ascii="David" w:hAnsi="David" w:cs="David" w:hint="cs"/>
          <w:sz w:val="24"/>
          <w:szCs w:val="24"/>
          <w:rtl/>
        </w:rPr>
        <w:t xml:space="preserve"> נלוות.</w:t>
      </w:r>
    </w:p>
    <w:p w:rsidR="00940C17" w:rsidRDefault="00940C17" w:rsidP="005F2E87">
      <w:pPr>
        <w:pStyle w:val="a3"/>
        <w:spacing w:after="240" w:line="360" w:lineRule="auto"/>
        <w:jc w:val="both"/>
        <w:rPr>
          <w:rFonts w:ascii="David" w:hAnsi="David" w:cs="David"/>
          <w:sz w:val="24"/>
          <w:szCs w:val="24"/>
          <w:rtl/>
        </w:rPr>
      </w:pPr>
      <w:r>
        <w:rPr>
          <w:rFonts w:ascii="David" w:hAnsi="David" w:cs="David" w:hint="cs"/>
          <w:sz w:val="24"/>
          <w:szCs w:val="24"/>
          <w:rtl/>
        </w:rPr>
        <w:t>סה"כ שולמו לתובעת כ-60,000 ₪ ושכ"ט בסך של 12,000 ₪.</w:t>
      </w:r>
    </w:p>
    <w:p w:rsidR="00940C17" w:rsidRDefault="00940C17" w:rsidP="005F2E87">
      <w:pPr>
        <w:pStyle w:val="a3"/>
        <w:spacing w:after="240" w:line="360" w:lineRule="auto"/>
        <w:jc w:val="both"/>
        <w:rPr>
          <w:rFonts w:ascii="David" w:hAnsi="David" w:cs="David"/>
          <w:sz w:val="24"/>
          <w:szCs w:val="24"/>
          <w:rtl/>
        </w:rPr>
      </w:pPr>
    </w:p>
    <w:sectPr w:rsidR="00940C17" w:rsidSect="00434DD5">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David">
    <w:panose1 w:val="00000000000000000000"/>
    <w:charset w:val="B1"/>
    <w:family w:val="auto"/>
    <w:pitch w:val="variable"/>
    <w:sig w:usb0="00000801" w:usb1="00000000" w:usb2="00000000" w:usb3="00000000" w:csb0="00000020"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8CE"/>
    <w:rsid w:val="000F78CE"/>
    <w:rsid w:val="00287EE1"/>
    <w:rsid w:val="0033377F"/>
    <w:rsid w:val="00434DD5"/>
    <w:rsid w:val="005B14EE"/>
    <w:rsid w:val="005F2E87"/>
    <w:rsid w:val="006C1522"/>
    <w:rsid w:val="0080353D"/>
    <w:rsid w:val="00940C1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87EE1"/>
    <w:pPr>
      <w:bidi/>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87EE1"/>
    <w:pPr>
      <w:bidi/>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5395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7F8136-4358-48D9-9FF7-820A6B863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180</Words>
  <Characters>902</Characters>
  <Application>Microsoft Office Word</Application>
  <DocSecurity>0</DocSecurity>
  <Lines>7</Lines>
  <Paragraphs>2</Paragraphs>
  <ScaleCrop>false</ScaleCrop>
  <Company/>
  <LinksUpToDate>false</LinksUpToDate>
  <CharactersWithSpaces>1080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אבי שם טוב</dc:creator>
  <cp:keywords/>
  <dc:description/>
  <cp:lastModifiedBy>USER</cp:lastModifiedBy>
  <cp:revision>7</cp:revision>
  <dcterms:created xsi:type="dcterms:W3CDTF">2016-08-14T11:35:00Z</dcterms:created>
  <dcterms:modified xsi:type="dcterms:W3CDTF">2016-10-05T07:42:00Z</dcterms:modified>
</cp:coreProperties>
</file>